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882-6k_ascentage.htm"/>
      <w:bookmarkStart w:id="1" w:name="ksea02978826k_ascentag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1066" w:right="1066" w:hanging="0"/>
        <w:jc w:val="left"/>
        <w:rPr>
          <w:caps w:val="false"/>
          <w:smallCaps w:val="false"/>
        </w:rPr>
      </w:pPr>
      <w:r>
        <w:rPr>
          <w:caps w:val="false"/>
          <w:smallCaps w:val="false"/>
        </w:rPr>
        <w:t>  </w:t>
      </w:r>
    </w:p>
    <w:p>
      <w:pPr>
        <w:pStyle w:val="TextBody"/>
        <w:bidi w:val="0"/>
        <w:ind w:left="1066" w:right="1066" w:hanging="0"/>
        <w:jc w:val="left"/>
        <w:rPr>
          <w:bdr w:val="single" w:sz="8" w:space="1" w:color="000000"/>
        </w:rPr>
      </w:pPr>
      <w:r>
        <w:rPr>
          <w:bdr w:val="single" w:sz="8" w:space="1" w:color="000000"/>
        </w:rPr>
        <w:t> </w:t>
      </w:r>
    </w:p>
    <w:p>
      <w:pPr>
        <w:pStyle w:val="TextBody"/>
        <w:bidi w:val="0"/>
        <w:spacing w:before="0" w:after="0"/>
        <w:ind w:left="1066" w:right="1066"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Ascentage Pharma Group International issued the announcement: “Update on The Further Grant Of Awards Under The 2021 RSU Scheme And The 2022 RSU Scheme; And Further Grant Of Options Under The Post IPO Share Option Scheme”. A copy of the announcement is furnished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725"/>
        <w:gridCol w:w="60"/>
        <w:gridCol w:w="3170"/>
      </w:tblGrid>
      <w:tr>
        <w:trPr/>
        <w:tc>
          <w:tcPr>
            <w:tcW w:w="725" w:type="dxa"/>
            <w:tcBorders/>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72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3170"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Exhibit Title</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3170" w:type="dxa"/>
            <w:tcBorders/>
            <w:shd w:fill="CCEEFF" w:val="clear"/>
            <w:vAlign w:val="center"/>
          </w:tcPr>
          <w:p>
            <w:pPr>
              <w:pStyle w:val="TableContents"/>
              <w:bidi w:val="0"/>
              <w:spacing w:before="0" w:after="283"/>
              <w:jc w:val="both"/>
              <w:rPr/>
            </w:pPr>
            <w:hyperlink w:anchor="ea029788201ex99-1.htm">
              <w:r>
                <w:rPr>
                  <w:rStyle w:val="InternetLink"/>
                  <w:sz w:val="20"/>
                </w:rPr>
                <w:t>A</w:t>
              </w:r>
            </w:hyperlink>
            <w:hyperlink w:anchor="ea029788201ex99-1.htm">
              <w:r>
                <w:rPr>
                  <w:rStyle w:val="InternetLink"/>
                </w:rPr>
                <w:t xml:space="preserve">nnouncement </w:t>
              </w:r>
            </w:hyperlink>
            <w:hyperlink w:anchor="ea029788201ex99-1.htm">
              <w:r>
                <w:rPr>
                  <w:rStyle w:val="InternetLink"/>
                  <w:sz w:val="20"/>
                </w:rPr>
                <w:t>dated J</w:t>
              </w:r>
            </w:hyperlink>
            <w:hyperlink w:anchor="ea029788201ex99-1.htm">
              <w:r>
                <w:rPr>
                  <w:rStyle w:val="InternetLink"/>
                </w:rPr>
                <w:t xml:space="preserve">uly </w:t>
              </w:r>
            </w:hyperlink>
            <w:hyperlink w:anchor="ea029788201ex99-1.htm">
              <w:r>
                <w:rPr>
                  <w:rStyle w:val="InternetLink"/>
                  <w:sz w:val="20"/>
                </w:rPr>
                <w:t>1</w:t>
              </w:r>
            </w:hyperlink>
            <w:hyperlink w:anchor="ea029788201ex99-1.htm">
              <w:r>
                <w:rPr>
                  <w:rStyle w:val="InternetLink"/>
                </w:rPr>
                <w:t>3</w:t>
              </w:r>
            </w:hyperlink>
            <w:hyperlink w:anchor="ea029788201ex99-1.htm">
              <w:r>
                <w:rPr>
                  <w:rStyle w:val="InternetLink"/>
                  <w:sz w:val="20"/>
                </w:rPr>
                <w:t>, 2026</w:t>
              </w:r>
            </w:hyperlink>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9" w:type="dxa"/>
        <w:jc w:val="left"/>
        <w:tblInd w:w="0" w:type="dxa"/>
        <w:tblLayout w:type="fixed"/>
        <w:tblCellMar>
          <w:top w:w="0" w:type="dxa"/>
          <w:left w:w="0" w:type="dxa"/>
          <w:bottom w:w="0" w:type="dxa"/>
          <w:right w:w="0" w:type="dxa"/>
        </w:tblCellMar>
      </w:tblPr>
      <w:tblGrid>
        <w:gridCol w:w="1625"/>
        <w:gridCol w:w="995"/>
        <w:gridCol w:w="3569"/>
      </w:tblGrid>
      <w:tr>
        <w:trPr/>
        <w:tc>
          <w:tcPr>
            <w:tcW w:w="162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sz w:val="20"/>
              </w:rPr>
            </w:pPr>
            <w:r>
              <w:rPr>
                <w:b/>
                <w:sz w:val="20"/>
              </w:rPr>
              <w:t>ASCENTAGE PHARMA GROUP INTERNATIONAL</w:t>
            </w:r>
          </w:p>
        </w:tc>
      </w:tr>
      <w:tr>
        <w:trPr/>
        <w:tc>
          <w:tcPr>
            <w:tcW w:w="162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13,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/s/ Dajun Yang</w:t>
            </w:r>
          </w:p>
        </w:tc>
      </w:tr>
      <w:tr>
        <w:trPr/>
        <w:tc>
          <w:tcPr>
            <w:tcW w:w="162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Name:</w:t>
            </w:r>
          </w:p>
        </w:tc>
        <w:tc>
          <w:tcPr>
            <w:tcW w:w="3569" w:type="dxa"/>
            <w:tcBorders/>
            <w:vAlign w:val="center"/>
          </w:tcPr>
          <w:p>
            <w:pPr>
              <w:pStyle w:val="TableContents"/>
              <w:bidi w:val="0"/>
              <w:spacing w:before="0" w:after="283"/>
              <w:jc w:val="left"/>
              <w:rPr>
                <w:sz w:val="20"/>
              </w:rPr>
            </w:pPr>
            <w:r>
              <w:rPr>
                <w:sz w:val="20"/>
              </w:rPr>
              <w:t>Dajun Yang</w:t>
            </w:r>
          </w:p>
        </w:tc>
      </w:tr>
      <w:tr>
        <w:trPr/>
        <w:tc>
          <w:tcPr>
            <w:tcW w:w="162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Title:</w:t>
            </w:r>
          </w:p>
        </w:tc>
        <w:tc>
          <w:tcPr>
            <w:tcW w:w="356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1"/>
        <w:jc w:val="right"/>
        <w:rPr>
          <w:rFonts w:ascii="Times New Roman;Times;Serif" w:hAnsi="Times New Roman;Times;Serif"/>
          <w:b/>
          <w:i w:val="false"/>
          <w:caps w:val="false"/>
          <w:smallCaps w:val="false"/>
          <w:sz w:val="20"/>
        </w:rPr>
      </w:pPr>
      <w:bookmarkStart w:id="2" w:name="ea029788201ex99-1.htm"/>
      <w:bookmarkStart w:id="3" w:name="ksea029788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240982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762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ON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GRANT OF AWARDS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2021 RSU SCHEME AND THE 2022 RSU SCHEME; AND FURTHER GRANT OF OPTIONS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POST IPO SHARE OPTION SCHEME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announcement of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June 29, 2026 in connection with the further grant of RSUs under the 2021 RSU Scheme and the 2022 RSU Scheme, as well as the further grant of Options under the Post IPO Share Option Scheme (the “</w:t>
      </w:r>
      <w:r>
        <w:rPr>
          <w:rFonts w:ascii="Times New Roman;Times;Serif" w:hAnsi="Times New Roman;Times;Serif"/>
          <w:b/>
          <w:i w:val="false"/>
          <w:caps w:val="false"/>
          <w:smallCaps w:val="false"/>
          <w:sz w:val="20"/>
        </w:rPr>
        <w:t>Announcement</w:t>
      </w:r>
      <w:r>
        <w:rPr>
          <w:rFonts w:ascii="Times New Roman;Times;Serif" w:hAnsi="Times New Roman;Times;Serif"/>
          <w:b w:val="false"/>
          <w:i w:val="false"/>
          <w:caps w:val="false"/>
          <w:smallCaps w:val="false"/>
          <w:sz w:val="20"/>
        </w:rPr>
        <w:t>”). Unless otherwise defined, capitalized terms used in this announcement shall have the same meanings as those defined in the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would like to provide an update that, for the avoidance of doubt, the date of the annual general meeting of the Company at which the Scheme Mandate Limit pursuant to which the 2021 Awards, 2022 Awards and Options would be satisfied is May 19, 2025 as opposed to May 20,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all other information as set out in the Announcement remains unchanged and shall continue to be valid for all purposes. This announcement is an update to and should be read in conjunction with the Announcement.</w:t>
      </w:r>
    </w:p>
    <w:p>
      <w:pPr>
        <w:pStyle w:val="TextBody"/>
        <w:bidi w:val="0"/>
        <w:spacing w:before="0" w:after="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75"/>
        <w:gridCol w:w="5810"/>
      </w:tblGrid>
      <w:tr>
        <w:trPr/>
        <w:tc>
          <w:tcPr>
            <w:tcW w:w="75"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center"/>
              <w:rPr/>
            </w:pPr>
            <w:r>
              <w:rPr/>
              <w:t>By order of the Board</w:t>
            </w:r>
          </w:p>
        </w:tc>
      </w:tr>
      <w:tr>
        <w:trPr/>
        <w:tc>
          <w:tcPr>
            <w:tcW w:w="75"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center"/>
              <w:rPr>
                <w:b/>
              </w:rPr>
            </w:pPr>
            <w:r>
              <w:rPr>
                <w:b/>
              </w:rPr>
              <w:t>Ascentage Pharma Group International Dr. Yang Dajun</w:t>
            </w:r>
          </w:p>
        </w:tc>
      </w:tr>
      <w:tr>
        <w:trPr/>
        <w:tc>
          <w:tcPr>
            <w:tcW w:w="75"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center"/>
              <w:rPr>
                <w:i/>
              </w:rPr>
            </w:pPr>
            <w:r>
              <w:rPr>
                <w:i/>
              </w:rPr>
              <w:t>Chairman and Executive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the PRC, July 13,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i/>
              </w:rPr>
            </w:pPr>
            <w:r>
              <w:rPr>
                <w:i/>
              </w:rPr>
              <w:t>1.</w:t>
            </w:r>
          </w:p>
        </w:tc>
        <w:tc>
          <w:tcPr>
            <w:tcW w:w="10013" w:type="dxa"/>
            <w:tcBorders/>
            <w:vAlign w:val="center"/>
          </w:tcPr>
          <w:p>
            <w:pPr>
              <w:pStyle w:val="TableContents"/>
              <w:bidi w:val="0"/>
              <w:spacing w:before="0" w:after="283"/>
              <w:jc w:val="both"/>
              <w:rPr>
                <w:i/>
              </w:rPr>
            </w:pPr>
            <w:r>
              <w:rPr>
                <w:i/>
              </w:rPr>
              <w:t>Dr. Lu Simon Dazhong satisfy the independence requirements of the U.S. Securities and Exchange Commission and Nasdaq corporate governance requirements.</w:t>
            </w:r>
          </w:p>
        </w:tc>
      </w:tr>
    </w:tbl>
    <w:p>
      <w:pPr>
        <w:pStyle w:val="TextBody"/>
        <w:bidi w:val="0"/>
        <w:spacing w:before="0" w:after="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15"/>
        <w:gridCol w:w="8285"/>
      </w:tblGrid>
      <w:tr>
        <w:trPr/>
        <w:tc>
          <w:tcPr>
            <w:tcW w:w="215"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left"/>
              <w:rPr>
                <w:i/>
              </w:rPr>
            </w:pPr>
            <w:r>
              <w:rPr>
                <w:i/>
              </w:rPr>
              <w:t>Dr. David Sidransky is the Lead Independent Non-Executive Director of the Company.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598</Words>
  <Characters>3082</Characters>
  <CharactersWithSpaces>3672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