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20, 2026, Ascentage Pharma Group International issued the announcement entitled “Poll Results of the Annual General Meeting Held on May 20, 2026”. On May 21, 2026, Ascentage Pharma Group International issued the announcement entitled “The Companies Act (As Amended) Company Limited by Shares Third Amended And Restated Memorandum of Association of Ascentage Pharma Group International” and the press release entitled “Ascentage Pharma Releases Latest Clinical Data from Multiple Trials at ASCO 2026”. On May 22, 2026, Ascentage Pharma Group International issued an announcement entitled “Ascentage Pharma Releases Latest Clinical Data From Multiple Trials at ASCO 2026”. A copy of the announcements and press release are furnished as Exhibits 99.1, 99.2, 99.3, and 99.4.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0" w:type="dxa"/>
            <w:vAlign w:val="bottom"/>
            <w:gridSpan w:val="3"/>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Poll Results Announcement dated May 20, 2026</w:t>
            </w:r>
          </w:p>
        </w:tc>
        <w:tc>
          <w:tcPr>
            <w:tcW w:w="660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Third Amended And Restated Memorandum of Association Announcement dated May 21,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Clinical Trial Press release dated May 21, 2026</w:t>
            </w:r>
          </w:p>
        </w:tc>
        <w:tc>
          <w:tcPr>
            <w:tcW w:w="668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Clinical Trial Announcement dated May 22, 2026</w:t>
            </w:r>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top w:val="single" w:sz="8" w:color="0000EE"/>
              <w:bottom w:val="single" w:sz="8" w:color="auto"/>
            </w:tcBorders>
            <w:gridSpan w:val="3"/>
          </w:tcPr>
          <w:p>
            <w:pPr>
              <w:spacing w:after="0"/>
              <w:rPr>
                <w:sz w:val="24"/>
                <w:szCs w:val="24"/>
                <w:color w:val="auto"/>
              </w:rPr>
            </w:pPr>
          </w:p>
        </w:tc>
        <w:tc>
          <w:tcPr>
            <w:tcW w:w="3360" w:type="dxa"/>
            <w:vAlign w:val="bottom"/>
            <w:tcBorders>
              <w:bottom w:val="single" w:sz="8" w:color="auto"/>
            </w:tcBorders>
          </w:tcPr>
          <w:p>
            <w:pPr>
              <w:jc w:val="right"/>
              <w:ind w:right="2330"/>
              <w:spacing w:after="0"/>
              <w:rPr>
                <w:sz w:val="20"/>
                <w:szCs w:val="20"/>
                <w:color w:val="auto"/>
              </w:rPr>
            </w:pPr>
            <w:r>
              <w:rPr>
                <w:rFonts w:ascii="Times New Roman" w:cs="Times New Roman" w:eastAsia="Times New Roman" w:hAnsi="Times New Roman"/>
                <w:sz w:val="18"/>
                <w:szCs w:val="18"/>
                <w:color w:val="auto"/>
              </w:rPr>
              <w:t>2</w:t>
            </w: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8525"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85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ASCENTAGE PHARMA GROUP INTERNATIONAL</w:t>
      </w:r>
    </w:p>
    <w:p>
      <w:pPr>
        <w:spacing w:after="0" w:line="52" w:lineRule="exact"/>
        <w:rPr>
          <w:sz w:val="20"/>
          <w:szCs w:val="20"/>
          <w:color w:val="auto"/>
        </w:rPr>
      </w:pPr>
    </w:p>
    <w:p>
      <w:pPr>
        <w:jc w:val="center"/>
        <w:spacing w:after="0" w:line="300" w:lineRule="exact"/>
        <w:rPr>
          <w:sz w:val="20"/>
          <w:szCs w:val="20"/>
          <w:color w:val="auto"/>
        </w:rPr>
      </w:pPr>
      <w:r>
        <w:rPr>
          <w:rFonts w:ascii="PMingLiU" w:cs="PMingLiU" w:eastAsia="PMingLiU" w:hAnsi="PMingLiU"/>
          <w:sz w:val="25"/>
          <w:szCs w:val="25"/>
          <w:color w:val="auto"/>
          <w:highlight w:val="black"/>
        </w:rPr>
        <w:t>亞 盛 醫 藥 集 團</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 HELD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27875" cy="372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372745"/>
                    </a:xfrm>
                    <a:prstGeom prst="rect">
                      <a:avLst/>
                    </a:prstGeom>
                    <a:noFill/>
                  </pic:spPr>
                </pic:pic>
              </a:graphicData>
            </a:graphic>
          </wp:anchor>
        </w:drawing>
      </w:r>
    </w:p>
    <w:p>
      <w:pPr>
        <w:spacing w:after="0" w:line="290" w:lineRule="exact"/>
        <w:rPr>
          <w:sz w:val="20"/>
          <w:szCs w:val="20"/>
          <w:color w:val="auto"/>
        </w:rPr>
      </w:pPr>
    </w:p>
    <w:p>
      <w:pPr>
        <w:ind w:left="80" w:right="80"/>
        <w:spacing w:after="0" w:line="282" w:lineRule="auto"/>
        <w:rPr>
          <w:sz w:val="20"/>
          <w:szCs w:val="20"/>
          <w:color w:val="auto"/>
        </w:rPr>
      </w:pPr>
      <w:r>
        <w:rPr>
          <w:rFonts w:ascii="Times New Roman" w:cs="Times New Roman" w:eastAsia="Times New Roman" w:hAnsi="Times New Roman"/>
          <w:sz w:val="18"/>
          <w:szCs w:val="18"/>
          <w:color w:val="auto"/>
        </w:rPr>
        <w:t>The Board is pleased to announce that all the proposed resolutions as set out in the AGM Notices dated April 28, 2026 and dated April 30, 2026 were duly passed by the Shareholders of the Company at the AGM held on May 20, 2026 by way of poll.</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Reference is made to the circular of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April 28, 2026 and the supplemental circular of the Company dated April 30, 2026 (collectively, the “</w:t>
      </w:r>
      <w:r>
        <w:rPr>
          <w:rFonts w:ascii="Times New Roman" w:cs="Times New Roman" w:eastAsia="Times New Roman" w:hAnsi="Times New Roman"/>
          <w:sz w:val="18"/>
          <w:szCs w:val="18"/>
          <w:b w:val="1"/>
          <w:bCs w:val="1"/>
          <w:color w:val="auto"/>
        </w:rPr>
        <w:t>AGM Circulars</w:t>
      </w:r>
      <w:r>
        <w:rPr>
          <w:rFonts w:ascii="Times New Roman" w:cs="Times New Roman" w:eastAsia="Times New Roman" w:hAnsi="Times New Roman"/>
          <w:sz w:val="18"/>
          <w:szCs w:val="18"/>
          <w:color w:val="auto"/>
        </w:rPr>
        <w:t>”) and the notice of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the Company dated April 28, 2026 and the supplemental notice of the AGM of the Company dated April 30, 2026 (collectively, the “</w:t>
      </w:r>
      <w:r>
        <w:rPr>
          <w:rFonts w:ascii="Times New Roman" w:cs="Times New Roman" w:eastAsia="Times New Roman" w:hAnsi="Times New Roman"/>
          <w:sz w:val="18"/>
          <w:szCs w:val="18"/>
          <w:b w:val="1"/>
          <w:bCs w:val="1"/>
          <w:color w:val="auto"/>
        </w:rPr>
        <w:t>AGM Notices</w:t>
      </w:r>
      <w:r>
        <w:rPr>
          <w:rFonts w:ascii="Times New Roman" w:cs="Times New Roman" w:eastAsia="Times New Roman" w:hAnsi="Times New Roman"/>
          <w:sz w:val="18"/>
          <w:szCs w:val="18"/>
          <w:color w:val="auto"/>
        </w:rPr>
        <w:t>”). Terms used in this announcement shall have the same meanings as those defined in the AGM Circulars and the AGM Notices unless the context requires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POLL RESULTS OF THE AGM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the date of the AGM, the number of Shares in issue was 373,348,863 Shares, which was the total number of Shares entitling the Shareholders to attend and vote for or against all the resolutions proposed at the AGM.</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section titled “</w:t>
      </w:r>
      <w:r>
        <w:rPr>
          <w:rFonts w:ascii="Times New Roman" w:cs="Times New Roman" w:eastAsia="Times New Roman" w:hAnsi="Times New Roman"/>
          <w:sz w:val="18"/>
          <w:szCs w:val="18"/>
          <w:b w:val="1"/>
          <w:bCs w:val="1"/>
          <w:color w:val="auto"/>
        </w:rPr>
        <w:t>Implications under the Listing Rules</w:t>
      </w:r>
      <w:r>
        <w:rPr>
          <w:rFonts w:ascii="Times New Roman" w:cs="Times New Roman" w:eastAsia="Times New Roman" w:hAnsi="Times New Roman"/>
          <w:sz w:val="18"/>
          <w:szCs w:val="18"/>
          <w:color w:val="auto"/>
        </w:rPr>
        <w:t>” in the Supplemental AGM Circular, Dr. Yang Dajun (“</w:t>
      </w:r>
      <w:r>
        <w:rPr>
          <w:rFonts w:ascii="Times New Roman" w:cs="Times New Roman" w:eastAsia="Times New Roman" w:hAnsi="Times New Roman"/>
          <w:sz w:val="18"/>
          <w:szCs w:val="18"/>
          <w:b w:val="1"/>
          <w:bCs w:val="1"/>
          <w:color w:val="auto"/>
        </w:rPr>
        <w:t>Dr. Yang</w:t>
      </w:r>
      <w:r>
        <w:rPr>
          <w:rFonts w:ascii="Times New Roman" w:cs="Times New Roman" w:eastAsia="Times New Roman" w:hAnsi="Times New Roman"/>
          <w:sz w:val="18"/>
          <w:szCs w:val="18"/>
          <w:color w:val="auto"/>
        </w:rPr>
        <w:t>”) is an executive Director and the chief executive officer of the Company, and Dr. Zhai Yifan (“</w:t>
      </w:r>
      <w:r>
        <w:rPr>
          <w:rFonts w:ascii="Times New Roman" w:cs="Times New Roman" w:eastAsia="Times New Roman" w:hAnsi="Times New Roman"/>
          <w:sz w:val="18"/>
          <w:szCs w:val="18"/>
          <w:b w:val="1"/>
          <w:bCs w:val="1"/>
          <w:color w:val="auto"/>
        </w:rPr>
        <w:t>Dr. Zhai</w:t>
      </w:r>
      <w:r>
        <w:rPr>
          <w:rFonts w:ascii="Times New Roman" w:cs="Times New Roman" w:eastAsia="Times New Roman" w:hAnsi="Times New Roman"/>
          <w:sz w:val="18"/>
          <w:szCs w:val="18"/>
          <w:color w:val="auto"/>
        </w:rPr>
        <w:t>”) is the chief medical officer and a substantial shareholder of the Company. Pursuant to Rules 17.04(2) and 17.04(4) of the Listing Rules, as the Shares issued and to be issued in respect of all RSUs and Options conditionally granted (excluding any options and awards lapsed in accordance with the term of the share schemes adopted by the Company) to Dr. Yang and Dr. Zhai would, in the 12-month period up to and including the date of the Proposed Grants to Dr. Yang and Dr. Zhai representing in aggregate over 0.1% of the total issued share capital of the Company (excluding treasury shares and assuming there will be no change to the total issued share capital from the date of the Supplemental Circular up to the exercise of the RSUs and Options granted to the grantees under the 2022 RSU Scheme and Post-IPO Share Option Scheme other than the abovementioned allotment and issuance of Shares by the Company to the grantees). The Proposed Grants to Dr. Yang and Dr. Zhai is subject to the approval by the Independent Shareholders, and Dr. Yang, Dr. Zhai, and their associates shall abstain from voting in favour of the relevant resolution(s) on the grant of RSU and Options to themselves at the AGM pursuant to the Listing Rules. Accordingly, Dr. Yang and Dr. Zhai, their associates and all core connected persons of the Company (holding of 60,998,117 Shares representing approximately 16.34% of the issued Shares, as at the date of AGM) must abstain from voting in favour of the resolutions approving Resolutions Nos. 9 and 10 in respect of the grant of RSUs and Options to Dr. Yang and Dr. Zhai.</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Saved as disclosed above, there were no Shareholders who were entitled to attend the AGM but were required to abstain from voting in favour of any of the resolutions proposed at the AGM as set out in Rule 13.40 of the Listing Rules. Saved as disclosed above, no Shareholder was required to abstain from voting on any of the resolutions proposed at the AGM. No Shareholder was entitled to attend and vote only against any of the resolutions proposed at the AGM. No parties had stated their intention in the AGM Circulars to vote against or to abstain from voting on any of the resolutions at the AGM.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pleased to announce that all the proposed resolutions as set out in the AGM Notices were duly passed by the Shareholders by way of poll at the AGM. The poll results of all the resolutions proposed at the AGM are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00" w:type="dxa"/>
            <w:vAlign w:val="bottom"/>
            <w:tcBorders>
              <w:top w:val="single" w:sz="8" w:color="231F20"/>
              <w:left w:val="single" w:sz="8" w:color="231F20"/>
            </w:tcBorders>
          </w:tcPr>
          <w:p>
            <w:pPr>
              <w:spacing w:after="0"/>
              <w:rPr>
                <w:sz w:val="18"/>
                <w:szCs w:val="18"/>
                <w:color w:val="auto"/>
              </w:rPr>
            </w:pPr>
          </w:p>
        </w:tc>
        <w:tc>
          <w:tcPr>
            <w:tcW w:w="7640" w:type="dxa"/>
            <w:vAlign w:val="bottom"/>
            <w:tcBorders>
              <w:top w:val="single" w:sz="8" w:color="231F20"/>
              <w:right w:val="single" w:sz="8" w:color="231F20"/>
            </w:tcBorders>
          </w:tcPr>
          <w:p>
            <w:pPr>
              <w:spacing w:after="0"/>
              <w:rPr>
                <w:sz w:val="18"/>
                <w:szCs w:val="18"/>
                <w:color w:val="auto"/>
              </w:rPr>
            </w:pPr>
          </w:p>
        </w:tc>
        <w:tc>
          <w:tcPr>
            <w:tcW w:w="2900" w:type="dxa"/>
            <w:vAlign w:val="bottom"/>
            <w:tcBorders>
              <w:top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r>
      <w:tr>
        <w:trPr>
          <w:trHeight w:val="216"/>
        </w:trPr>
        <w:tc>
          <w:tcPr>
            <w:tcW w:w="700" w:type="dxa"/>
            <w:vAlign w:val="bottom"/>
            <w:tcBorders>
              <w:left w:val="single" w:sz="8" w:color="231F20"/>
            </w:tcBorders>
          </w:tcPr>
          <w:p>
            <w:pPr>
              <w:spacing w:after="0"/>
              <w:rPr>
                <w:sz w:val="18"/>
                <w:szCs w:val="18"/>
                <w:color w:val="auto"/>
              </w:rPr>
            </w:pPr>
          </w:p>
        </w:tc>
        <w:tc>
          <w:tcPr>
            <w:tcW w:w="7640" w:type="dxa"/>
            <w:vAlign w:val="bottom"/>
            <w:tcBorders>
              <w:right w:val="single" w:sz="8" w:color="231F20"/>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Ordinary Resolutions</w:t>
            </w:r>
            <w:r>
              <w:rPr>
                <w:rFonts w:ascii="Times New Roman" w:cs="Times New Roman" w:eastAsia="Times New Roman" w:hAnsi="Times New Roman"/>
                <w:sz w:val="18"/>
                <w:szCs w:val="18"/>
                <w:color w:val="auto"/>
              </w:rPr>
              <w:t>*</w:t>
            </w:r>
          </w:p>
        </w:tc>
        <w:tc>
          <w:tcPr>
            <w:tcW w:w="2900" w:type="dxa"/>
            <w:vAlign w:val="bottom"/>
            <w:tcBorders>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percentage of total</w:t>
            </w:r>
          </w:p>
        </w:tc>
      </w:tr>
      <w:tr>
        <w:trPr>
          <w:trHeight w:val="238"/>
        </w:trPr>
        <w:tc>
          <w:tcPr>
            <w:tcW w:w="700" w:type="dxa"/>
            <w:vAlign w:val="bottom"/>
            <w:tcBorders>
              <w:left w:val="single" w:sz="8" w:color="231F20"/>
            </w:tcBorders>
          </w:tcPr>
          <w:p>
            <w:pPr>
              <w:spacing w:after="0"/>
              <w:rPr>
                <w:sz w:val="20"/>
                <w:szCs w:val="20"/>
                <w:color w:val="auto"/>
              </w:rPr>
            </w:pPr>
          </w:p>
        </w:tc>
        <w:tc>
          <w:tcPr>
            <w:tcW w:w="7640" w:type="dxa"/>
            <w:vAlign w:val="bottom"/>
            <w:tcBorders>
              <w:right w:val="single" w:sz="8" w:color="231F20"/>
            </w:tcBorders>
          </w:tcPr>
          <w:p>
            <w:pPr>
              <w:spacing w:after="0"/>
              <w:rPr>
                <w:sz w:val="20"/>
                <w:szCs w:val="20"/>
                <w:color w:val="auto"/>
              </w:rPr>
            </w:pPr>
          </w:p>
        </w:tc>
        <w:tc>
          <w:tcPr>
            <w:tcW w:w="2900" w:type="dxa"/>
            <w:vAlign w:val="bottom"/>
            <w:tcBorders>
              <w:bottom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w:t>
            </w:r>
          </w:p>
        </w:tc>
      </w:tr>
      <w:tr>
        <w:trPr>
          <w:trHeight w:val="209"/>
        </w:trPr>
        <w:tc>
          <w:tcPr>
            <w:tcW w:w="700" w:type="dxa"/>
            <w:vAlign w:val="bottom"/>
            <w:tcBorders>
              <w:left w:val="single" w:sz="8" w:color="231F20"/>
              <w:bottom w:val="single" w:sz="8" w:color="231F20"/>
            </w:tcBorders>
          </w:tcPr>
          <w:p>
            <w:pPr>
              <w:spacing w:after="0"/>
              <w:rPr>
                <w:sz w:val="18"/>
                <w:szCs w:val="18"/>
                <w:color w:val="auto"/>
              </w:rPr>
            </w:pPr>
          </w:p>
        </w:tc>
        <w:tc>
          <w:tcPr>
            <w:tcW w:w="7640" w:type="dxa"/>
            <w:vAlign w:val="bottom"/>
            <w:tcBorders>
              <w:bottom w:val="single" w:sz="8" w:color="231F20"/>
              <w:right w:val="single" w:sz="8" w:color="231F20"/>
            </w:tcBorders>
          </w:tcPr>
          <w:p>
            <w:pPr>
              <w:spacing w:after="0"/>
              <w:rPr>
                <w:sz w:val="18"/>
                <w:szCs w:val="18"/>
                <w:color w:val="auto"/>
              </w:rPr>
            </w:pPr>
          </w:p>
        </w:tc>
        <w:tc>
          <w:tcPr>
            <w:tcW w:w="1440" w:type="dxa"/>
            <w:vAlign w:val="bottom"/>
            <w:tcBorders>
              <w:bottom w:val="single" w:sz="8" w:color="231F20"/>
              <w:right w:val="single" w:sz="8" w:color="231F20"/>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tcBorders>
              <w:bottom w:val="single" w:sz="8" w:color="231F20"/>
              <w:right w:val="single" w:sz="8" w:color="231F20"/>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Against</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consider and adopt the audited consolidated financial statements of the Company and the reports of</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85,580,809</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40,000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the Directors and the auditor for the year ended December 31, 2025.</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(99.95%)</w:t>
            </w:r>
          </w:p>
        </w:tc>
        <w:tc>
          <w:tcPr>
            <w:tcW w:w="1460" w:type="dxa"/>
            <w:vAlign w:val="bottom"/>
            <w:tcBorders>
              <w:bottom w:val="single" w:sz="8" w:color="231F20"/>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(0.05%)</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2(a).</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re-elect Dr. Wang Shaomeng as a Non-executive Director.</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85,580,808</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40,000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(99.95%)</w:t>
            </w:r>
          </w:p>
        </w:tc>
        <w:tc>
          <w:tcPr>
            <w:tcW w:w="1460" w:type="dxa"/>
            <w:vAlign w:val="bottom"/>
            <w:tcBorders>
              <w:bottom w:val="single" w:sz="8" w:color="231F20"/>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(0.05%)</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2(b).</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re-elect Dr. Lu Simon Dazhong as a Non-executive Director.</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84,501,778</w:t>
            </w:r>
          </w:p>
        </w:tc>
        <w:tc>
          <w:tcPr>
            <w:tcW w:w="1460" w:type="dxa"/>
            <w:vAlign w:val="bottom"/>
            <w:tcBorders>
              <w:right w:val="single" w:sz="8" w:color="231F20"/>
            </w:tcBorders>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1,119,030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(98.69%)</w:t>
            </w:r>
          </w:p>
        </w:tc>
        <w:tc>
          <w:tcPr>
            <w:tcW w:w="1460" w:type="dxa"/>
            <w:vAlign w:val="bottom"/>
            <w:tcBorders>
              <w:bottom w:val="single" w:sz="8" w:color="231F20"/>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(1.31%)</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2(c).</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re-elect Dr. David Sidransky as an Independent Non-executive Director.</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85,346,659</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274,150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(99.68%)</w:t>
            </w:r>
          </w:p>
        </w:tc>
        <w:tc>
          <w:tcPr>
            <w:tcW w:w="1460" w:type="dxa"/>
            <w:vAlign w:val="bottom"/>
            <w:tcBorders>
              <w:bottom w:val="single" w:sz="8" w:color="231F20"/>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(0.32%)</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authorize the Board to fix the Directors’ remuneration.</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85,526,934</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93,874</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(99.89%)</w:t>
            </w:r>
          </w:p>
        </w:tc>
        <w:tc>
          <w:tcPr>
            <w:tcW w:w="1460" w:type="dxa"/>
            <w:vAlign w:val="bottom"/>
            <w:tcBorders>
              <w:bottom w:val="single" w:sz="8" w:color="231F20"/>
              <w:right w:val="single" w:sz="8" w:color="231F20"/>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5"/>
              </w:rPr>
              <w:t>(0.11%)</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re-appoint Ernst &amp;Young as auditor of the Company, to hold office until the conclusion of the next</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85,580,808</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40,000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annual general meeting of the Company, and to authorize the Board to fix their remuneration.</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(99.95%)</w:t>
            </w:r>
          </w:p>
        </w:tc>
        <w:tc>
          <w:tcPr>
            <w:tcW w:w="1460" w:type="dxa"/>
            <w:vAlign w:val="bottom"/>
            <w:tcBorders>
              <w:bottom w:val="single" w:sz="8" w:color="231F20"/>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(0.05%)</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 Directors to allot, issue and deal with new shares of the Company</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71,785,915</w:t>
            </w:r>
          </w:p>
        </w:tc>
        <w:tc>
          <w:tcPr>
            <w:tcW w:w="1460" w:type="dxa"/>
            <w:vAlign w:val="bottom"/>
            <w:tcBorders>
              <w:right w:val="single" w:sz="8" w:color="231F20"/>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13,834,893</w:t>
            </w: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76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with an aggregate number of not exceeding 20% of the total number of shares of the Company in issue</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(83.84%)</w:t>
            </w:r>
          </w:p>
        </w:tc>
        <w:tc>
          <w:tcPr>
            <w:tcW w:w="1460" w:type="dxa"/>
            <w:vAlign w:val="bottom"/>
            <w:tcBorders>
              <w:right w:val="single" w:sz="8" w:color="231F20"/>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(16.16%)</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(excluding Treasury Shares, if any) as at the date of the passing of the relevant resolution at the AGM.</w:t>
            </w: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r>
      <w:tr>
        <w:trPr>
          <w:trHeight w:val="649"/>
        </w:trPr>
        <w:tc>
          <w:tcPr>
            <w:tcW w:w="7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00" w:type="dxa"/>
            <w:vAlign w:val="bottom"/>
            <w:tcBorders>
              <w:top w:val="single" w:sz="8" w:color="231F20"/>
              <w:left w:val="single" w:sz="8" w:color="231F20"/>
            </w:tcBorders>
          </w:tcPr>
          <w:p>
            <w:pPr>
              <w:spacing w:after="0"/>
              <w:rPr>
                <w:sz w:val="18"/>
                <w:szCs w:val="18"/>
                <w:color w:val="auto"/>
              </w:rPr>
            </w:pPr>
          </w:p>
        </w:tc>
        <w:tc>
          <w:tcPr>
            <w:tcW w:w="7640" w:type="dxa"/>
            <w:vAlign w:val="bottom"/>
            <w:tcBorders>
              <w:top w:val="single" w:sz="8" w:color="231F20"/>
              <w:right w:val="single" w:sz="8" w:color="231F20"/>
            </w:tcBorders>
          </w:tcPr>
          <w:p>
            <w:pPr>
              <w:spacing w:after="0"/>
              <w:rPr>
                <w:sz w:val="18"/>
                <w:szCs w:val="18"/>
                <w:color w:val="auto"/>
              </w:rPr>
            </w:pPr>
          </w:p>
        </w:tc>
        <w:tc>
          <w:tcPr>
            <w:tcW w:w="2900" w:type="dxa"/>
            <w:vAlign w:val="bottom"/>
            <w:tcBorders>
              <w:top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r>
      <w:tr>
        <w:trPr>
          <w:trHeight w:val="216"/>
        </w:trPr>
        <w:tc>
          <w:tcPr>
            <w:tcW w:w="700" w:type="dxa"/>
            <w:vAlign w:val="bottom"/>
            <w:tcBorders>
              <w:left w:val="single" w:sz="8" w:color="231F20"/>
            </w:tcBorders>
          </w:tcPr>
          <w:p>
            <w:pPr>
              <w:spacing w:after="0"/>
              <w:rPr>
                <w:sz w:val="18"/>
                <w:szCs w:val="18"/>
                <w:color w:val="auto"/>
              </w:rPr>
            </w:pPr>
          </w:p>
        </w:tc>
        <w:tc>
          <w:tcPr>
            <w:tcW w:w="7640" w:type="dxa"/>
            <w:vAlign w:val="bottom"/>
            <w:tcBorders>
              <w:right w:val="single" w:sz="8" w:color="231F20"/>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Ordinary Resolutions</w:t>
            </w:r>
            <w:r>
              <w:rPr>
                <w:rFonts w:ascii="Times New Roman" w:cs="Times New Roman" w:eastAsia="Times New Roman" w:hAnsi="Times New Roman"/>
                <w:sz w:val="18"/>
                <w:szCs w:val="18"/>
                <w:color w:val="auto"/>
                <w:w w:val="99"/>
              </w:rPr>
              <w:t>*</w:t>
            </w:r>
          </w:p>
        </w:tc>
        <w:tc>
          <w:tcPr>
            <w:tcW w:w="2900" w:type="dxa"/>
            <w:vAlign w:val="bottom"/>
            <w:tcBorders>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percentage of total</w:t>
            </w:r>
          </w:p>
        </w:tc>
      </w:tr>
      <w:tr>
        <w:trPr>
          <w:trHeight w:val="238"/>
        </w:trPr>
        <w:tc>
          <w:tcPr>
            <w:tcW w:w="700" w:type="dxa"/>
            <w:vAlign w:val="bottom"/>
            <w:tcBorders>
              <w:left w:val="single" w:sz="8" w:color="231F20"/>
            </w:tcBorders>
          </w:tcPr>
          <w:p>
            <w:pPr>
              <w:spacing w:after="0"/>
              <w:rPr>
                <w:sz w:val="20"/>
                <w:szCs w:val="20"/>
                <w:color w:val="auto"/>
              </w:rPr>
            </w:pPr>
          </w:p>
        </w:tc>
        <w:tc>
          <w:tcPr>
            <w:tcW w:w="7640" w:type="dxa"/>
            <w:vAlign w:val="bottom"/>
            <w:tcBorders>
              <w:right w:val="single" w:sz="8" w:color="231F20"/>
            </w:tcBorders>
          </w:tcPr>
          <w:p>
            <w:pPr>
              <w:spacing w:after="0"/>
              <w:rPr>
                <w:sz w:val="20"/>
                <w:szCs w:val="20"/>
                <w:color w:val="auto"/>
              </w:rPr>
            </w:pPr>
          </w:p>
        </w:tc>
        <w:tc>
          <w:tcPr>
            <w:tcW w:w="2900" w:type="dxa"/>
            <w:vAlign w:val="bottom"/>
            <w:tcBorders>
              <w:bottom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w:t>
            </w:r>
          </w:p>
        </w:tc>
      </w:tr>
      <w:tr>
        <w:trPr>
          <w:trHeight w:val="223"/>
        </w:trPr>
        <w:tc>
          <w:tcPr>
            <w:tcW w:w="700" w:type="dxa"/>
            <w:vAlign w:val="bottom"/>
            <w:tcBorders>
              <w:left w:val="single" w:sz="8" w:color="231F20"/>
              <w:bottom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tcPr>
          <w:p>
            <w:pPr>
              <w:spacing w:after="0"/>
              <w:rPr>
                <w:sz w:val="19"/>
                <w:szCs w:val="19"/>
                <w:color w:val="auto"/>
              </w:rPr>
            </w:pPr>
          </w:p>
        </w:tc>
        <w:tc>
          <w:tcPr>
            <w:tcW w:w="1440" w:type="dxa"/>
            <w:vAlign w:val="bottom"/>
            <w:tcBorders>
              <w:bottom w:val="single" w:sz="8" w:color="231F20"/>
              <w:right w:val="single" w:sz="8" w:color="231F20"/>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tcBorders>
              <w:bottom w:val="single" w:sz="8" w:color="231F20"/>
              <w:right w:val="single" w:sz="8" w:color="231F20"/>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Against</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 Directors to repurchase the Company’s shares with a total number of</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85,580,808</w:t>
            </w:r>
          </w:p>
        </w:tc>
        <w:tc>
          <w:tcPr>
            <w:tcW w:w="1460" w:type="dxa"/>
            <w:vAlign w:val="bottom"/>
            <w:tcBorders>
              <w:right w:val="single" w:sz="8" w:color="231F20"/>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70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not more than 10% of the total number of shares of the Company in issue (excluding Treasury Shares, if</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(99.95%)</w:t>
            </w:r>
          </w:p>
        </w:tc>
        <w:tc>
          <w:tcPr>
            <w:tcW w:w="1460" w:type="dxa"/>
            <w:vAlign w:val="bottom"/>
            <w:tcBorders>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(0.05%)</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any) as at the date of the passing of the relevant resolution at the AGM.</w:t>
            </w: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extend the general mandate granted to the Directors under resolution 5 by an amount representing</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71,986,115</w:t>
            </w:r>
          </w:p>
        </w:tc>
        <w:tc>
          <w:tcPr>
            <w:tcW w:w="1460" w:type="dxa"/>
            <w:vAlign w:val="bottom"/>
            <w:tcBorders>
              <w:right w:val="single" w:sz="8" w:color="231F20"/>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13,634,693</w:t>
            </w:r>
          </w:p>
        </w:tc>
      </w:tr>
      <w:tr>
        <w:trPr>
          <w:trHeight w:val="230"/>
        </w:trPr>
        <w:tc>
          <w:tcPr>
            <w:tcW w:w="70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the aggregate number of the Company’s shares repurchased by the Company under resolution 6,</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(84.08%)</w:t>
            </w:r>
          </w:p>
        </w:tc>
        <w:tc>
          <w:tcPr>
            <w:tcW w:w="1460" w:type="dxa"/>
            <w:vAlign w:val="bottom"/>
            <w:tcBorders>
              <w:right w:val="single" w:sz="8" w:color="231F20"/>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(15.92%)</w:t>
            </w: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76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provided that such amount shall not exceed 10% of the total number of shares of the Company in issue</w:t>
            </w: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as at the date of the passing of the relevant resolution at the AGM.</w:t>
            </w: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r>
      <w:tr>
        <w:trPr>
          <w:trHeight w:val="223"/>
        </w:trPr>
        <w:tc>
          <w:tcPr>
            <w:tcW w:w="700" w:type="dxa"/>
            <w:vAlign w:val="bottom"/>
            <w:tcBorders>
              <w:left w:val="single" w:sz="8" w:color="231F20"/>
              <w:bottom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Special Resolution*</w:t>
            </w:r>
          </w:p>
        </w:tc>
        <w:tc>
          <w:tcPr>
            <w:tcW w:w="1440" w:type="dxa"/>
            <w:vAlign w:val="bottom"/>
            <w:tcBorders>
              <w:bottom w:val="single" w:sz="8" w:color="231F20"/>
              <w:right w:val="single" w:sz="8" w:color="231F20"/>
            </w:tcBorders>
          </w:tcPr>
          <w:p>
            <w:pPr>
              <w:spacing w:after="0"/>
              <w:rPr>
                <w:sz w:val="19"/>
                <w:szCs w:val="19"/>
                <w:color w:val="auto"/>
              </w:rPr>
            </w:pPr>
          </w:p>
        </w:tc>
        <w:tc>
          <w:tcPr>
            <w:tcW w:w="1460" w:type="dxa"/>
            <w:vAlign w:val="bottom"/>
            <w:tcBorders>
              <w:bottom w:val="single" w:sz="8" w:color="231F20"/>
              <w:right w:val="single" w:sz="8" w:color="231F20"/>
            </w:tcBorders>
          </w:tcPr>
          <w:p>
            <w:pPr>
              <w:spacing w:after="0"/>
              <w:rPr>
                <w:sz w:val="19"/>
                <w:szCs w:val="19"/>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approve the proposed amendments to the existing memorandum and articles of association of the</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83,647,517</w:t>
            </w:r>
          </w:p>
        </w:tc>
        <w:tc>
          <w:tcPr>
            <w:tcW w:w="1460" w:type="dxa"/>
            <w:vAlign w:val="bottom"/>
            <w:tcBorders>
              <w:right w:val="single" w:sz="8" w:color="231F20"/>
            </w:tcBorders>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1,973,291</w:t>
            </w:r>
          </w:p>
        </w:tc>
      </w:tr>
      <w:tr>
        <w:trPr>
          <w:trHeight w:val="229"/>
        </w:trPr>
        <w:tc>
          <w:tcPr>
            <w:tcW w:w="70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Company and to adopt a new amended and restated memorandum and articles of association of the</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(97.70%)</w:t>
            </w:r>
          </w:p>
        </w:tc>
        <w:tc>
          <w:tcPr>
            <w:tcW w:w="1460" w:type="dxa"/>
            <w:vAlign w:val="bottom"/>
            <w:tcBorders>
              <w:right w:val="single" w:sz="8" w:color="231F20"/>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(2.30%)</w:t>
            </w: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r>
      <w:tr>
        <w:trPr>
          <w:trHeight w:val="223"/>
        </w:trPr>
        <w:tc>
          <w:tcPr>
            <w:tcW w:w="700" w:type="dxa"/>
            <w:vAlign w:val="bottom"/>
            <w:tcBorders>
              <w:left w:val="single" w:sz="8" w:color="231F20"/>
              <w:bottom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440" w:type="dxa"/>
            <w:vAlign w:val="bottom"/>
            <w:tcBorders>
              <w:bottom w:val="single" w:sz="8" w:color="231F20"/>
              <w:right w:val="single" w:sz="8" w:color="231F20"/>
            </w:tcBorders>
          </w:tcPr>
          <w:p>
            <w:pPr>
              <w:spacing w:after="0"/>
              <w:rPr>
                <w:sz w:val="19"/>
                <w:szCs w:val="19"/>
                <w:color w:val="auto"/>
              </w:rPr>
            </w:pPr>
          </w:p>
        </w:tc>
        <w:tc>
          <w:tcPr>
            <w:tcW w:w="1460" w:type="dxa"/>
            <w:vAlign w:val="bottom"/>
            <w:tcBorders>
              <w:bottom w:val="single" w:sz="8" w:color="231F20"/>
              <w:right w:val="single" w:sz="8" w:color="231F20"/>
            </w:tcBorders>
          </w:tcPr>
          <w:p>
            <w:pPr>
              <w:spacing w:after="0"/>
              <w:rPr>
                <w:sz w:val="19"/>
                <w:szCs w:val="19"/>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consider and approve the proposed grants of RSUs to Dr. Yang and Dr. Zhai under the 2022 RSU</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71,978,131</w:t>
            </w:r>
          </w:p>
        </w:tc>
        <w:tc>
          <w:tcPr>
            <w:tcW w:w="1460" w:type="dxa"/>
            <w:vAlign w:val="bottom"/>
            <w:tcBorders>
              <w:right w:val="single" w:sz="8" w:color="231F20"/>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13,642,677</w:t>
            </w:r>
          </w:p>
        </w:tc>
      </w:tr>
      <w:tr>
        <w:trPr>
          <w:trHeight w:val="248"/>
        </w:trPr>
        <w:tc>
          <w:tcPr>
            <w:tcW w:w="700" w:type="dxa"/>
            <w:vAlign w:val="bottom"/>
            <w:tcBorders>
              <w:left w:val="single" w:sz="8" w:color="231F20"/>
              <w:bottom w:val="single" w:sz="8" w:color="231F20"/>
              <w:right w:val="single" w:sz="8" w:color="231F20"/>
            </w:tcBorders>
          </w:tcPr>
          <w:p>
            <w:pPr>
              <w:spacing w:after="0"/>
              <w:rPr>
                <w:sz w:val="21"/>
                <w:szCs w:val="21"/>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Scheme.</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(84.07%)</w:t>
            </w:r>
          </w:p>
        </w:tc>
        <w:tc>
          <w:tcPr>
            <w:tcW w:w="1460" w:type="dxa"/>
            <w:vAlign w:val="bottom"/>
            <w:tcBorders>
              <w:bottom w:val="single" w:sz="8" w:color="231F20"/>
              <w:right w:val="single" w:sz="8" w:color="231F20"/>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(15.93%)</w:t>
            </w: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76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consider and approve the proposed grants of Options to Dr. Yang and Dr. Zhai under the Post-IPO</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71,978,131</w:t>
            </w:r>
          </w:p>
        </w:tc>
        <w:tc>
          <w:tcPr>
            <w:tcW w:w="1460" w:type="dxa"/>
            <w:vAlign w:val="bottom"/>
            <w:tcBorders>
              <w:right w:val="single" w:sz="8" w:color="231F20"/>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13,642,677</w:t>
            </w:r>
          </w:p>
        </w:tc>
      </w:tr>
      <w:tr>
        <w:trPr>
          <w:trHeight w:val="248"/>
        </w:trPr>
        <w:tc>
          <w:tcPr>
            <w:tcW w:w="700" w:type="dxa"/>
            <w:vAlign w:val="bottom"/>
            <w:tcBorders>
              <w:left w:val="single" w:sz="8" w:color="231F20"/>
              <w:bottom w:val="single" w:sz="8" w:color="231F20"/>
              <w:right w:val="single" w:sz="8" w:color="231F20"/>
            </w:tcBorders>
          </w:tcPr>
          <w:p>
            <w:pPr>
              <w:spacing w:after="0"/>
              <w:rPr>
                <w:sz w:val="21"/>
                <w:szCs w:val="21"/>
                <w:color w:val="auto"/>
              </w:rPr>
            </w:pPr>
          </w:p>
        </w:tc>
        <w:tc>
          <w:tcPr>
            <w:tcW w:w="76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 Option Scheme.</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(84.07%)</w:t>
            </w:r>
          </w:p>
        </w:tc>
        <w:tc>
          <w:tcPr>
            <w:tcW w:w="1460" w:type="dxa"/>
            <w:vAlign w:val="bottom"/>
            <w:tcBorders>
              <w:bottom w:val="single" w:sz="8" w:color="231F20"/>
              <w:right w:val="single" w:sz="8" w:color="231F20"/>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(15.93%)</w:t>
            </w:r>
          </w:p>
        </w:tc>
      </w:tr>
    </w:tbl>
    <w:p>
      <w:pPr>
        <w:spacing w:after="0" w:line="19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full text of the resolutions is set out in the AGM Notices.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Tricor Investor Services Limited, the Company’s Hong Kong Branch Share Registrar, acted as the scrutineer at the AGM for the purpose of vote-taking. As more than 50% of the votes were cast in favour of each of the resolutions 1 to 7 and 9 to 10, these resolutions were duly passed as ordinary resolutions at the AGM. As more than 75% of the votes were cast in favour of resolution 8, the resolution was duly passed as a special resolution at the AGM. The following Directors attended the AGM either in person or by electronic means: Dr. Yang Dajun, Dr. Wang Shaomeng, Dr. Lu Simon Dazhong, Mr. Ye Changqing and Mr. Ren Wei.</w:t>
      </w:r>
    </w:p>
    <w:p>
      <w:pPr>
        <w:spacing w:after="0" w:line="18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Dr. 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May 20,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ASCENTAGE PHARMA GROUP INTERNATIONAL</w:t>
      </w:r>
    </w:p>
    <w:p>
      <w:pPr>
        <w:spacing w:after="0" w:line="243" w:lineRule="exact"/>
        <w:rPr>
          <w:sz w:val="20"/>
          <w:szCs w:val="20"/>
          <w:color w:val="auto"/>
        </w:rPr>
      </w:pPr>
    </w:p>
    <w:p>
      <w:pPr>
        <w:jc w:val="center"/>
        <w:ind w:right="1120"/>
        <w:spacing w:after="0" w:line="264" w:lineRule="exact"/>
        <w:rPr>
          <w:sz w:val="20"/>
          <w:szCs w:val="20"/>
          <w:color w:val="auto"/>
        </w:rPr>
      </w:pPr>
      <w:r>
        <w:rPr>
          <w:rFonts w:ascii="PMingLiU" w:cs="PMingLiU" w:eastAsia="PMingLiU" w:hAnsi="PMingLiU"/>
          <w:sz w:val="22"/>
          <w:szCs w:val="22"/>
          <w:color w:val="auto"/>
          <w:highlight w:val="black"/>
        </w:rPr>
        <w:t>亞 盛 醫 藥 集 團</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3601085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2486660</wp:posOffset>
            </wp:positionV>
            <wp:extent cx="256286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68580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ASCENTAGE PHARMA GROUP INTERNATIONAL</w:t>
      </w:r>
    </w:p>
    <w:p>
      <w:pPr>
        <w:spacing w:after="0" w:line="232" w:lineRule="exact"/>
        <w:rPr>
          <w:sz w:val="20"/>
          <w:szCs w:val="20"/>
          <w:color w:val="auto"/>
        </w:rPr>
      </w:pPr>
    </w:p>
    <w:p>
      <w:pPr>
        <w:jc w:val="center"/>
        <w:ind w:right="-11"/>
        <w:spacing w:after="0" w:line="264" w:lineRule="exact"/>
        <w:rPr>
          <w:sz w:val="20"/>
          <w:szCs w:val="20"/>
          <w:color w:val="auto"/>
        </w:rPr>
      </w:pPr>
      <w:r>
        <w:rPr>
          <w:rFonts w:ascii="PMingLiU" w:cs="PMingLiU" w:eastAsia="PMingLiU" w:hAnsi="PMingLiU"/>
          <w:sz w:val="22"/>
          <w:szCs w:val="22"/>
          <w:color w:val="auto"/>
          <w:highlight w:val="black"/>
        </w:rPr>
        <w:t>亞 盛 醫 藥 集 團</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MAY 20, 2026)</w:t>
      </w:r>
    </w:p>
    <w:p>
      <w:pPr>
        <w:spacing w:after="0" w:line="235" w:lineRule="exact"/>
        <w:rPr>
          <w:sz w:val="20"/>
          <w:szCs w:val="20"/>
          <w:color w:val="auto"/>
        </w:rPr>
      </w:pPr>
    </w:p>
    <w:p>
      <w:pPr>
        <w:ind w:left="652" w:hanging="652"/>
        <w:spacing w:after="0" w:line="219" w:lineRule="exact"/>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Ascentage Pharma Group International </w:t>
      </w:r>
      <w:r>
        <w:rPr>
          <w:rFonts w:ascii="PMingLiU" w:cs="PMingLiU" w:eastAsia="PMingLiU" w:hAnsi="PMingLiU"/>
          <w:sz w:val="18"/>
          <w:szCs w:val="18"/>
          <w:color w:val="auto"/>
        </w:rPr>
        <w:t>亞盛醫藥集團</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is situated at the offices of Walkers Corporate Limited, 190 Elgin Avenue, George Town, Grand Cayman KY1-9008, Cayman Islands or at such other location as the Directors may from time to time determine.</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objects of the Company shall include, but without limitation, the following:</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an investment company and for that purpose to acquire and hold, either in the name of the Company or in that of any nominee, land and real estate, gold and silver bullion, shares (including shares in the Company),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w:t>
      </w:r>
    </w:p>
    <w:p>
      <w:pPr>
        <w:spacing w:after="0" w:line="183"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lend money with or without security either at interest or without and to invest money of the Company in such manner as the Directors think fit.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by purchase, lease, exchange, or otherwise lands, houses, buildings and other property or any interest in the same in any part of the world.</w:t>
      </w:r>
    </w:p>
    <w:p>
      <w:pPr>
        <w:spacing w:after="0" w:line="188"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a commodity, commodity futures and forward contracts trader and for that purpose to enter into spot, future or forward contracts for the purchase and sale of any commodity including, but without prejudice to the generality of the foregoing, any raw materials, processed materials, agricultural products, produce or livestock, gold and silver bullion, specie and precious or semi-precious stones, goods, articles, services, currencies, rights and interests which may now or in the future be bought and sold in commerce and whether such trading is effected on an organised commodity exchange or otherwise and either to take delivery of, or to sell or exchange any such commodities pursuant to any contract capable of being entered into on any such commodities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0" w:name="page11"/>
    <w:bookmarkEnd w:id="10"/>
    <w:p>
      <w:pPr>
        <w:jc w:val="both"/>
        <w:ind w:left="644" w:hanging="644"/>
        <w:spacing w:after="0" w:line="26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whether as principals, agents or otherwise the business of providing and supplying goods, equipment, materials and services of whatsoever nature, and of financiers, company promoters, realtors, financial agents, land owners and dealers in or managers of companies, estates, lands, buildings, goods, materials, services, stocks, leases, annuities and securities of whatsoever type or kind.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otherwise acquire and hold any rights, privileges, concessions, patents, patent rights, licences, secret processes and any real or personal property of any kind whatsoever.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build, equip, furnish, outfit, repair, purchase, own, charter and lease steam, motor, sail or other vessels, ships, boats, tugs, barges, lighters or other property to be used in the business of shipping, transportation, chartering and other communication and transport operations for the use of the Company or for others, and to sell, charter, lease, mortgage, pledge or transfer the same or any interest therein to others.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importers, exporters and merchants of goods, produce, stores and articles of all kinds both wholesale and retail, packers, customs brokers, ship agents, warehousemen, bonded or otherwise and carriers and to transact every kind of agency, factor and brokerage business or transaction which may seem to the Company directly or indirectly conducive to its interests.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consultants in connection with all manner of services and advisers on all matters relating to companies, firms, partnerships, charities, political and non-political persons and organisations, governments, principalities, sovereign and republican states and countries and to carry on all or any of the businesses of financial, industrial, development, architectural, engineering, manufacturing, contracting, management, advertising, professional business and personal consultants and to advise upon the means and methods for extending, developing, marketing and improving all types of projects, developments, businesses or industries and all systems or processes relating to such businesses and the financing, planning, distribution, marketing and sale thereof.</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a management company in all branches of that activity and without limiting the generality of the foregoing, to act as managers of investments and hotels, estates, real property, buildings and businesses of every kind and generally to carry on business as managers, consultants or agents for or representatives of owners of property of every kind, manufacturers, funds, syndicates, persons, firms and companies for any purpose whatsoever.</w:t>
      </w:r>
    </w:p>
    <w:p>
      <w:pPr>
        <w:spacing w:after="0" w:line="206"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any other trade or business which may seem to the Company capable of being carried on conveniently in connection with any business of the Company.</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or raise money by the issue of ordinary debenture stock or on mortgage or in such other manner as the Company shall think fit.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draw, make, accept, endorse, discount, execute and issue all instruments both negotiable and non-negotiable and transferable including promissory notes, bills of exchange, bills of lading, warrants, debentures and bonds.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branches or agencies in the Cayman Islands and elsewhere and to regulate and to discontinue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1" w:name="page12"/>
    <w:bookmarkEnd w:id="11"/>
    <w:p>
      <w:pPr>
        <w:ind w:left="1292" w:hanging="644"/>
        <w:spacing w:after="0"/>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distribute any of the property of the Company among the members of the Company in specie.</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and take over the whole or any part of the business, property and liabilities of any person or persons, firm or company or to take or otherwise acquire and hold shares, stock, debentures or other securities of or interest in any other company carrying on any business or possessed of any property or rights.</w:t>
      </w:r>
    </w:p>
    <w:p>
      <w:pPr>
        <w:spacing w:after="0" w:line="17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pensions, allowances, gratuities and bonuses to employees or ex-employees of the Company or the dependents of such persons and to support, establish or subscribe to any charitable or other institutions, clubs, societies or funds or to any national or patriotic fund.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lend and advance moneys or give credit to such persons and on such terms as may be thought fit and to guarantee or stand surety for the obligations of any third party whether such third party is related to the Company or otherwise and whether or not such guarantee or surety is to provide any benefits to the Company and for that purpose to mortgage or charge the Company’s undertaking, property and uncalled capital or any part thereof, on such terms and conditions as may be thought expedient in support of any such obligations binding on the Company whether contingent or otherwise.</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partnership or into any arrangements for sharing profits, union of interests, co-operation, joint venture, reciprocal concession, amalgamation or otherwise with any person or persons or company engaged or interested or about to become engaged or interested in the carrying on or conduct of any business or enterprise from which this Company would or might derive any benefit whether direct or indirect and to lend money, guarantee the contracts of or otherwise assist any such person or company and to take subscribe for or otherwise acquire shares and securities of any such company and to sell, hold, re issue with or without guarantee or otherwise deal with the same.</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arrangements with any authorities, municipal or local or otherwise and to obtain from any such authority any rights, privileges or concessions which the Company may think it desirable to obtain and to carry out, exercise and comply with any such arrangements, rights, privileges or concessions.</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such things as are incidental to or which the Company may think conducive to the attainment of the above objects or any of them.</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registered as an exempted company as defined in the Cayman Islands Companies Act, it shall have the power, subject to the provisions of the Cayman Islands Companies Act and with the approval of a special resolution, to continue as a body incorporated under the laws of any jurisdiction outside of the Cayman Islands and to be de-registered in the Cayman Islands.</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members of the Company is limited to the amount, if any, unpaid on the shares respectively held by them.</w:t>
      </w:r>
    </w:p>
    <w:p>
      <w:pPr>
        <w:spacing w:after="0" w:line="221"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authorised share capital of the Company is </w:t>
      </w:r>
      <w:r>
        <w:rPr>
          <w:rFonts w:ascii="Times New Roman" w:cs="Times New Roman" w:eastAsia="Times New Roman" w:hAnsi="Times New Roman"/>
          <w:sz w:val="18"/>
          <w:szCs w:val="18"/>
          <w:b w:val="1"/>
          <w:bCs w:val="1"/>
          <w:color w:val="auto"/>
        </w:rPr>
        <w:t>US$50,000</w:t>
      </w:r>
      <w:r>
        <w:rPr>
          <w:rFonts w:ascii="Times New Roman" w:cs="Times New Roman" w:eastAsia="Times New Roman" w:hAnsi="Times New Roman"/>
          <w:sz w:val="18"/>
          <w:szCs w:val="18"/>
          <w:color w:val="auto"/>
        </w:rPr>
        <w:t xml:space="preserve"> consisting of </w:t>
      </w:r>
      <w:r>
        <w:rPr>
          <w:rFonts w:ascii="Times New Roman" w:cs="Times New Roman" w:eastAsia="Times New Roman" w:hAnsi="Times New Roman"/>
          <w:sz w:val="18"/>
          <w:szCs w:val="18"/>
          <w:b w:val="1"/>
          <w:bCs w:val="1"/>
          <w:color w:val="auto"/>
        </w:rPr>
        <w:t>500,000,000</w:t>
      </w:r>
      <w:r>
        <w:rPr>
          <w:rFonts w:ascii="Times New Roman" w:cs="Times New Roman" w:eastAsia="Times New Roman" w:hAnsi="Times New Roman"/>
          <w:sz w:val="18"/>
          <w:szCs w:val="18"/>
          <w:color w:val="auto"/>
        </w:rPr>
        <w:t xml:space="preserve"> shares of a nominal or par value of </w:t>
      </w:r>
      <w:r>
        <w:rPr>
          <w:rFonts w:ascii="Times New Roman" w:cs="Times New Roman" w:eastAsia="Times New Roman" w:hAnsi="Times New Roman"/>
          <w:sz w:val="18"/>
          <w:szCs w:val="18"/>
          <w:b w:val="1"/>
          <w:bCs w:val="1"/>
          <w:color w:val="auto"/>
        </w:rPr>
        <w:t>US$0.0001</w:t>
      </w:r>
      <w:r>
        <w:rPr>
          <w:rFonts w:ascii="Times New Roman" w:cs="Times New Roman" w:eastAsia="Times New Roman" w:hAnsi="Times New Roman"/>
          <w:sz w:val="18"/>
          <w:szCs w:val="18"/>
          <w:color w:val="auto"/>
        </w:rPr>
        <w:t xml:space="preserve"> each with the power for the Company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024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 A</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WARRANTS AND MODIFICATION OF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 OF SHAREHOLDERS AND SHARE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OF SHAREHOLDERS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PROXY AND CORPORATE REPRESENTATIVE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AND ROTATION OF DIRECTORS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DIRECTORS, ETC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OTHER OFFICERS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MINUTES AND CORPORATE RECORDS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SECRETARY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MANAGEMENT AND USE OF THE SEAL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AND RESERVES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RETURNS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WINDING UP</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UNTRACEABLE SHAREHOLDERS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RIGHT RESERVE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ASCENTAGE PHARMA GROUP INTERNATIONAL</w:t>
      </w:r>
    </w:p>
    <w:p>
      <w:pPr>
        <w:spacing w:after="0" w:line="232" w:lineRule="exact"/>
        <w:rPr>
          <w:sz w:val="20"/>
          <w:szCs w:val="20"/>
          <w:color w:val="auto"/>
        </w:rPr>
      </w:pPr>
    </w:p>
    <w:p>
      <w:pPr>
        <w:jc w:val="center"/>
        <w:ind w:right="-11"/>
        <w:spacing w:after="0" w:line="264" w:lineRule="exact"/>
        <w:rPr>
          <w:sz w:val="20"/>
          <w:szCs w:val="20"/>
          <w:color w:val="auto"/>
        </w:rPr>
      </w:pPr>
      <w:r>
        <w:rPr>
          <w:rFonts w:ascii="PMingLiU" w:cs="PMingLiU" w:eastAsia="PMingLiU" w:hAnsi="PMingLiU"/>
          <w:sz w:val="22"/>
          <w:szCs w:val="22"/>
          <w:color w:val="auto"/>
          <w:highlight w:val="black"/>
        </w:rPr>
        <w:t>亞 盛 醫 藥 集 團</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MAY 20, 2026) TABLE A</w:t>
      </w:r>
    </w:p>
    <w:p>
      <w:pPr>
        <w:spacing w:after="0" w:line="226" w:lineRule="exact"/>
        <w:rPr>
          <w:sz w:val="20"/>
          <w:szCs w:val="20"/>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“A” of the Companies Act (as revised) shall not apply to the Company.</w:t>
      </w:r>
    </w:p>
    <w:p>
      <w:pPr>
        <w:spacing w:after="0" w:line="221" w:lineRule="exact"/>
        <w:rPr>
          <w:rFonts w:ascii="Times New Roman" w:cs="Times New Roman" w:eastAsia="Times New Roman" w:hAnsi="Times New Roman"/>
          <w:sz w:val="18"/>
          <w:szCs w:val="18"/>
          <w:color w:val="auto"/>
        </w:rPr>
      </w:pPr>
    </w:p>
    <w:p>
      <w:pPr>
        <w:ind w:left="48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marginal notes, titles or lead in references to Articles and the index of the Memorandum and Articles of Association shall not form part of the Memorandum or Articles of Association and shall not affect their interpretation. In interpreting these Articles of Association, unless there be something in the subject or context inconsistent therewith:</w:t>
      </w:r>
    </w:p>
    <w:p>
      <w:pPr>
        <w:spacing w:after="0" w:line="171" w:lineRule="exact"/>
        <w:rPr>
          <w:rFonts w:ascii="Times New Roman" w:cs="Times New Roman" w:eastAsia="Times New Roman" w:hAnsi="Times New Roman"/>
          <w:sz w:val="18"/>
          <w:szCs w:val="18"/>
          <w:color w:val="auto"/>
        </w:rPr>
      </w:pPr>
    </w:p>
    <w:p>
      <w:pPr>
        <w:ind w:left="129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shall have the ordinary meaning given to it and shall include any facsimile number, electronic number or address or website used for the purposes of any communication pursuant to these Articles;</w:t>
      </w:r>
    </w:p>
    <w:p>
      <w:pPr>
        <w:spacing w:after="0" w:line="154"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appointor</w:t>
      </w:r>
      <w:r>
        <w:rPr>
          <w:rFonts w:ascii="Times New Roman" w:cs="Times New Roman" w:eastAsia="Times New Roman" w:hAnsi="Times New Roman"/>
          <w:sz w:val="18"/>
          <w:szCs w:val="18"/>
          <w:color w:val="auto"/>
        </w:rPr>
        <w:t>” means in relation to an alternate Director, the Director who appointed the alternate to act as his alternate;</w:t>
      </w:r>
    </w:p>
    <w:p>
      <w:pPr>
        <w:spacing w:after="0" w:line="225" w:lineRule="exact"/>
        <w:rPr>
          <w:rFonts w:ascii="Times New Roman" w:cs="Times New Roman" w:eastAsia="Times New Roman" w:hAnsi="Times New Roman"/>
          <w:sz w:val="18"/>
          <w:szCs w:val="18"/>
          <w:color w:val="auto"/>
        </w:rPr>
      </w:pPr>
    </w:p>
    <w:p>
      <w:pPr>
        <w:ind w:left="129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in their present form and all supplementary, amended or substituted articles for the time being in force;</w:t>
      </w:r>
    </w:p>
    <w:p>
      <w:pPr>
        <w:spacing w:after="0" w:line="154"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the persons appointed by the Company from time to time to perform the duties of auditors of the Company;</w:t>
      </w:r>
    </w:p>
    <w:p>
      <w:pPr>
        <w:spacing w:after="0" w:line="225" w:lineRule="exact"/>
        <w:rPr>
          <w:rFonts w:ascii="Times New Roman" w:cs="Times New Roman" w:eastAsia="Times New Roman" w:hAnsi="Times New Roman"/>
          <w:sz w:val="18"/>
          <w:szCs w:val="18"/>
          <w:color w:val="auto"/>
        </w:rPr>
      </w:pPr>
    </w:p>
    <w:p>
      <w:pPr>
        <w:ind w:left="129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as the context may require the majority of Directors present and voting at a meeting of the Directors at which a quorum is present;</w:t>
      </w:r>
    </w:p>
    <w:p>
      <w:pPr>
        <w:spacing w:after="0" w:line="154" w:lineRule="exact"/>
        <w:rPr>
          <w:rFonts w:ascii="Times New Roman" w:cs="Times New Roman" w:eastAsia="Times New Roman" w:hAnsi="Times New Roman"/>
          <w:sz w:val="18"/>
          <w:szCs w:val="18"/>
          <w:color w:val="auto"/>
        </w:rPr>
      </w:pPr>
    </w:p>
    <w:p>
      <w:pPr>
        <w:ind w:left="129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Branch Register</w:t>
      </w:r>
      <w:r>
        <w:rPr>
          <w:rFonts w:ascii="Times New Roman" w:cs="Times New Roman" w:eastAsia="Times New Roman" w:hAnsi="Times New Roman"/>
          <w:sz w:val="18"/>
          <w:szCs w:val="18"/>
          <w:color w:val="auto"/>
        </w:rPr>
        <w:t>” means any branch register in respect of any category or categories of Shareholders of the Company established by the Company in accordance with the Companies Act;</w:t>
      </w:r>
    </w:p>
    <w:p>
      <w:pPr>
        <w:spacing w:after="0" w:line="154"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shall include any instalment of a call;</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4" w:name="page15"/>
    <w:bookmarkEnd w:id="14"/>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House</w:t>
      </w:r>
      <w:r>
        <w:rPr>
          <w:rFonts w:ascii="Times New Roman" w:cs="Times New Roman" w:eastAsia="Times New Roman" w:hAnsi="Times New Roman"/>
          <w:sz w:val="18"/>
          <w:szCs w:val="18"/>
          <w:color w:val="auto"/>
        </w:rPr>
        <w:t>” means a clearing house recognised by the laws of the jurisdiction in which the Shares of the Company are listed or quoted with the permission of the Company on a stock exchange in such jurisdiction;</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Associate(s)</w:t>
      </w:r>
      <w:r>
        <w:rPr>
          <w:rFonts w:ascii="Times New Roman" w:cs="Times New Roman" w:eastAsia="Times New Roman" w:hAnsi="Times New Roman"/>
          <w:sz w:val="18"/>
          <w:szCs w:val="18"/>
          <w:color w:val="auto"/>
        </w:rPr>
        <w:t>” shall have the meaning as defined in the Listing Rules;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amended) of the Cayman Islands;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Ordinance</w:t>
      </w:r>
      <w:r>
        <w:rPr>
          <w:rFonts w:ascii="Times New Roman" w:cs="Times New Roman" w:eastAsia="Times New Roman" w:hAnsi="Times New Roman"/>
          <w:sz w:val="18"/>
          <w:szCs w:val="18"/>
          <w:color w:val="auto"/>
        </w:rPr>
        <w:t>” means the Companies Ordinance, Cap. 622 of the Laws of Hong Kong as amended from time to time;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above named company;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Debenture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Debenture Holder</w:t>
      </w:r>
      <w:r>
        <w:rPr>
          <w:rFonts w:ascii="Times New Roman" w:cs="Times New Roman" w:eastAsia="Times New Roman" w:hAnsi="Times New Roman"/>
          <w:sz w:val="18"/>
          <w:szCs w:val="18"/>
          <w:color w:val="auto"/>
        </w:rPr>
        <w:t>” means and includes respectively debenture stock and debenture stockholder;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such person or persons as shall be appointed to the Board from time to time;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means dividends, distributions in specie or in kind, capital distributions and capitalisation issues;</w:t>
      </w:r>
    </w:p>
    <w:p>
      <w:pPr>
        <w:spacing w:after="0" w:line="225" w:lineRule="exact"/>
        <w:rPr>
          <w:sz w:val="20"/>
          <w:szCs w:val="20"/>
          <w:color w:val="auto"/>
        </w:rPr>
      </w:pPr>
    </w:p>
    <w:p>
      <w:pPr>
        <w:jc w:val="both"/>
        <w:ind w:left="18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communication</w:t>
      </w:r>
      <w:r>
        <w:rPr>
          <w:rFonts w:ascii="Times New Roman" w:cs="Times New Roman" w:eastAsia="Times New Roman" w:hAnsi="Times New Roman"/>
          <w:sz w:val="18"/>
          <w:szCs w:val="18"/>
          <w:color w:val="auto"/>
        </w:rPr>
        <w:t>” means a communication sent, transmitted, conveyed and received by wire, by radio, by optical means or by other electromagnetic means in any form through any medium;</w:t>
      </w:r>
    </w:p>
    <w:p>
      <w:pPr>
        <w:spacing w:after="0" w:line="155"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meeting</w:t>
      </w:r>
      <w:r>
        <w:rPr>
          <w:rFonts w:ascii="Times New Roman" w:cs="Times New Roman" w:eastAsia="Times New Roman" w:hAnsi="Times New Roman"/>
          <w:sz w:val="18"/>
          <w:szCs w:val="18"/>
          <w:color w:val="auto"/>
        </w:rPr>
        <w:t>” means a general meeting held and conducted wholly and exclusively by virtual attendance and participation by Shareholders and/or proxies by means of electronic facilities;</w:t>
      </w:r>
    </w:p>
    <w:p>
      <w:pPr>
        <w:spacing w:after="0" w:line="155"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Head Office</w:t>
      </w:r>
      <w:r>
        <w:rPr>
          <w:rFonts w:ascii="Times New Roman" w:cs="Times New Roman" w:eastAsia="Times New Roman" w:hAnsi="Times New Roman"/>
          <w:sz w:val="18"/>
          <w:szCs w:val="18"/>
          <w:color w:val="auto"/>
        </w:rPr>
        <w:t>” means such office of the Company as the Board may from time to time determine to be the principal office of the Company;</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Stock Exchange</w:t>
      </w:r>
      <w:r>
        <w:rPr>
          <w:rFonts w:ascii="Times New Roman" w:cs="Times New Roman" w:eastAsia="Times New Roman" w:hAnsi="Times New Roman"/>
          <w:sz w:val="18"/>
          <w:szCs w:val="18"/>
          <w:color w:val="auto"/>
        </w:rPr>
        <w:t>” means The Stock Exchange of Hong Kong Limited;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Hong Kong dollars</w:t>
      </w:r>
      <w:r>
        <w:rPr>
          <w:rFonts w:ascii="Times New Roman" w:cs="Times New Roman" w:eastAsia="Times New Roman" w:hAnsi="Times New Roman"/>
          <w:sz w:val="18"/>
          <w:szCs w:val="18"/>
          <w:color w:val="auto"/>
        </w:rPr>
        <w:t>” means Hong Kong dollars, the lawful currency for the time being of Hong Kong;</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has the meaning ascribed to it by Section 13 of the Companies Ordinance;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hybrid meeting</w:t>
      </w:r>
      <w:r>
        <w:rPr>
          <w:rFonts w:ascii="Times New Roman" w:cs="Times New Roman" w:eastAsia="Times New Roman" w:hAnsi="Times New Roman"/>
          <w:sz w:val="18"/>
          <w:szCs w:val="18"/>
          <w:color w:val="auto"/>
        </w:rPr>
        <w:t>” means a general meeting held and conducted by (i) physical attendance by Shareholders and/or proxies at the Principal Meeting Place and, where applicable, one or more other Meeting Locations and (ii) virtual attendance and participation by Shareholders and/or proxies by means of electronic facilities;</w:t>
      </w:r>
    </w:p>
    <w:p>
      <w:pPr>
        <w:spacing w:after="0" w:line="171"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shall mean the Rules Governing the Listing of Securities on The Stock Exchange of Hong Kong Limited (as amended from time to time);</w:t>
      </w: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 Location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Meeting Locations</w:t>
      </w:r>
      <w:r>
        <w:rPr>
          <w:rFonts w:ascii="Times New Roman" w:cs="Times New Roman" w:eastAsia="Times New Roman" w:hAnsi="Times New Roman"/>
          <w:sz w:val="18"/>
          <w:szCs w:val="18"/>
          <w:color w:val="auto"/>
        </w:rPr>
        <w:t>” have the meanings ascribed to them in Article 67;</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calendar month;</w:t>
      </w:r>
    </w:p>
    <w:p>
      <w:pPr>
        <w:spacing w:after="0" w:line="225"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Newspapers</w:t>
      </w:r>
      <w:r>
        <w:rPr>
          <w:rFonts w:ascii="Times New Roman" w:cs="Times New Roman" w:eastAsia="Times New Roman" w:hAnsi="Times New Roman"/>
          <w:sz w:val="18"/>
          <w:szCs w:val="18"/>
          <w:color w:val="auto"/>
        </w:rPr>
        <w:t>” means at least one English language daily newspaper and at least one Chinese language daily newspaper, in each case published and circulating generally in the Relevant Territory and specified or not excluded for this purpose by the stock exchange in the Relevant Territory;</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 a resolution as described in Article 1(c)(ii) of these Articles;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8"/>
          <w:szCs w:val="18"/>
          <w:color w:val="auto"/>
        </w:rPr>
        <w:t>” means, as it relates to a Share, paid or credited as paid;</w:t>
      </w:r>
    </w:p>
    <w:p>
      <w:pPr>
        <w:spacing w:after="0" w:line="225"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w:t>
      </w:r>
    </w:p>
    <w:p>
      <w:pPr>
        <w:spacing w:after="0" w:line="171"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meeting</w:t>
      </w:r>
      <w:r>
        <w:rPr>
          <w:rFonts w:ascii="Times New Roman" w:cs="Times New Roman" w:eastAsia="Times New Roman" w:hAnsi="Times New Roman"/>
          <w:sz w:val="18"/>
          <w:szCs w:val="18"/>
          <w:color w:val="auto"/>
        </w:rPr>
        <w:t>” means a general meeting held and conducted by physical attendance and participation by Shareholders and/or proxies at the Principal Meeting Place and/or, where applicable, one or more other Meeting Locations;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Meeting Place</w:t>
      </w:r>
      <w:r>
        <w:rPr>
          <w:rFonts w:ascii="Times New Roman" w:cs="Times New Roman" w:eastAsia="Times New Roman" w:hAnsi="Times New Roman"/>
          <w:sz w:val="18"/>
          <w:szCs w:val="18"/>
          <w:color w:val="auto"/>
        </w:rPr>
        <w:t>” has the meaning ascribed to it in Article 76; “</w:t>
      </w:r>
      <w:r>
        <w:rPr>
          <w:rFonts w:ascii="Times New Roman" w:cs="Times New Roman" w:eastAsia="Times New Roman" w:hAnsi="Times New Roman"/>
          <w:sz w:val="18"/>
          <w:szCs w:val="18"/>
          <w:b w:val="1"/>
          <w:bCs w:val="1"/>
          <w:color w:val="auto"/>
        </w:rPr>
        <w:t>Principal Register</w:t>
      </w:r>
      <w:r>
        <w:rPr>
          <w:rFonts w:ascii="Times New Roman" w:cs="Times New Roman" w:eastAsia="Times New Roman" w:hAnsi="Times New Roman"/>
          <w:sz w:val="18"/>
          <w:szCs w:val="18"/>
          <w:color w:val="auto"/>
        </w:rPr>
        <w:t>” means:</w:t>
      </w:r>
    </w:p>
    <w:p>
      <w:pPr>
        <w:spacing w:after="0" w:line="256" w:lineRule="exact"/>
        <w:rPr>
          <w:sz w:val="20"/>
          <w:szCs w:val="20"/>
          <w:color w:val="auto"/>
        </w:rPr>
      </w:pPr>
    </w:p>
    <w:p>
      <w:pPr>
        <w:ind w:left="840" w:right="20" w:hanging="656"/>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not established one or more Branch Registers pursuant to the Companies Act and these Articles, the register of Members of the Company required to be kept pursuant to the Companies Act; and</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established one or more Branch Registers pursuant to the Companies Act and these Articles, the Register maintained by the Company pursuant to the Companies Act and these Articles that is not designated by the Directors as a Branch Register.</w:t>
      </w:r>
    </w:p>
    <w:p>
      <w:pPr>
        <w:spacing w:after="0" w:line="172"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Principal Register and any Branch Register of Shareholders of the Company to be maintained at such place within or outside the Cayman Islands as the Board shall determine from time to time;</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means the registered office of the Company for the time being as required by the Companies Act;</w:t>
      </w:r>
    </w:p>
    <w:p>
      <w:pPr>
        <w:spacing w:after="0" w:line="225"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Office</w:t>
      </w:r>
      <w:r>
        <w:rPr>
          <w:rFonts w:ascii="Times New Roman" w:cs="Times New Roman" w:eastAsia="Times New Roman" w:hAnsi="Times New Roman"/>
          <w:sz w:val="18"/>
          <w:szCs w:val="18"/>
          <w:color w:val="auto"/>
        </w:rPr>
        <w:t>” means such place or places in the Relevant Territory or elsewhere where the Board from time to time determine to keep a Branch Register and where (except in cases where the Board otherwise agrees) transfers or other documents of title for the applicable Shares are to be lodged for registration and are to be registered;</w:t>
      </w: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6" w:name="page17"/>
    <w:bookmarkEnd w:id="16"/>
    <w:p>
      <w:pPr>
        <w:jc w:val="both"/>
        <w:ind w:left="64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commencing from the date on which any of the securities of the Company first become listed on the HK Stock Exchange to and including the date immediately before the day on which none of such securities are so listed (and so that if at any time listing of any such securities is suspended for any reason whatsoever and for any length of time, they shall nevertheless be treated, for the purpose of this definition, as listed);</w:t>
      </w:r>
    </w:p>
    <w:p>
      <w:pPr>
        <w:spacing w:after="0" w:line="176" w:lineRule="exact"/>
        <w:rPr>
          <w:sz w:val="20"/>
          <w:szCs w:val="20"/>
          <w:color w:val="auto"/>
        </w:rPr>
      </w:pPr>
    </w:p>
    <w:p>
      <w:pPr>
        <w:jc w:val="both"/>
        <w:ind w:left="64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Territory</w:t>
      </w:r>
      <w:r>
        <w:rPr>
          <w:rFonts w:ascii="Times New Roman" w:cs="Times New Roman" w:eastAsia="Times New Roman" w:hAnsi="Times New Roman"/>
          <w:sz w:val="18"/>
          <w:szCs w:val="18"/>
          <w:color w:val="auto"/>
        </w:rPr>
        <w:t>” means Hong Kong or such other territory where any of the securities of the Company is listed on a stock exchange in that territory;</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the common seal of the Company;</w:t>
      </w:r>
    </w:p>
    <w:p>
      <w:pPr>
        <w:spacing w:after="0" w:line="225" w:lineRule="exact"/>
        <w:rPr>
          <w:sz w:val="20"/>
          <w:szCs w:val="20"/>
          <w:color w:val="auto"/>
        </w:rPr>
      </w:pPr>
    </w:p>
    <w:p>
      <w:pPr>
        <w:jc w:val="both"/>
        <w:ind w:left="64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any Person for the time being performing the duties of that office of the Company and includes any assistant, deputy, acting or temporary secretary;</w:t>
      </w:r>
    </w:p>
    <w:p>
      <w:pPr>
        <w:spacing w:after="0" w:line="155" w:lineRule="exact"/>
        <w:rPr>
          <w:sz w:val="20"/>
          <w:szCs w:val="20"/>
          <w:color w:val="auto"/>
        </w:rPr>
      </w:pPr>
    </w:p>
    <w:p>
      <w:pPr>
        <w:jc w:val="both"/>
        <w:ind w:left="64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Seal</w:t>
      </w:r>
      <w:r>
        <w:rPr>
          <w:rFonts w:ascii="Times New Roman" w:cs="Times New Roman" w:eastAsia="Times New Roman" w:hAnsi="Times New Roman"/>
          <w:sz w:val="18"/>
          <w:szCs w:val="18"/>
          <w:color w:val="auto"/>
        </w:rPr>
        <w:t>” means a seal for use for sealing certificates for shares or other securities issued by the Company which is a facsimile of the Seal of the Company with the addition on its face of the words Securities Seal;</w:t>
      </w:r>
    </w:p>
    <w:p>
      <w:pPr>
        <w:spacing w:after="0" w:line="155" w:lineRule="exact"/>
        <w:rPr>
          <w:sz w:val="20"/>
          <w:szCs w:val="20"/>
          <w:color w:val="auto"/>
        </w:rPr>
      </w:pPr>
    </w:p>
    <w:p>
      <w:pPr>
        <w:jc w:val="both"/>
        <w:ind w:left="64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in the share capital of the Company and includes stock except where a distinction between stock and Shares is expressed or implied. All references to “Shares” herein shall be deemed to be Shares of any or all Classes or Series as the context may require. For the avoidance of doubt in these Articles the expression “Share” shall include a fraction of a Share;</w:t>
      </w:r>
    </w:p>
    <w:p>
      <w:pPr>
        <w:spacing w:after="0" w:line="171" w:lineRule="exact"/>
        <w:rPr>
          <w:sz w:val="20"/>
          <w:szCs w:val="20"/>
          <w:color w:val="auto"/>
        </w:rPr>
      </w:pPr>
    </w:p>
    <w:p>
      <w:pPr>
        <w:jc w:val="both"/>
        <w:ind w:left="64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the person who is duly registered in the Register as holder for the time being of any Share and includes persons who are jointly so registered;</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 means a resolution as described in Article 1(c)(i) of these Articles;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has the meaning ascribed to it by Section 15 of the Companies Ordinance;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means the place where the Principal Register is located for the time being; and</w:t>
      </w:r>
    </w:p>
    <w:p>
      <w:pPr>
        <w:spacing w:after="0" w:line="225" w:lineRule="exact"/>
        <w:rPr>
          <w:sz w:val="20"/>
          <w:szCs w:val="20"/>
          <w:color w:val="auto"/>
        </w:rPr>
      </w:pPr>
    </w:p>
    <w:p>
      <w:pPr>
        <w:jc w:val="both"/>
        <w:ind w:left="64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 means Shares that were previously issued but were purchased, redeemed, surrendered or otherwise acquired by the Company and not cancelled.</w:t>
      </w:r>
    </w:p>
    <w:p>
      <w:pPr>
        <w:spacing w:after="0" w:line="159" w:lineRule="exact"/>
        <w:rPr>
          <w:sz w:val="20"/>
          <w:szCs w:val="20"/>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in the subject or context inconsistent herewith:</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shall include every gender and words importing persons shall include partnerships, firms, companies and corporations;</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7" w:name="page18"/>
    <w:bookmarkEnd w:id="17"/>
    <w:p>
      <w:pPr>
        <w:jc w:val="both"/>
        <w:ind w:left="840" w:hanging="656"/>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Article, any words or expressions defined in the Companies Act (except any statutory modification thereof not in force when these Articles become binding on the Company) shall bear the same meaning in these Articles, save that “company” shall where the context permits include any company incorporated in the Cayman Islands or elsewhere;</w:t>
      </w:r>
    </w:p>
    <w:p>
      <w:pPr>
        <w:spacing w:after="0" w:line="179"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statute or statutory provision shall be construed as relating to any statutory modification or re-enactment thereof for the time being in force;</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similar expressions shall include printing, lithography, photography and other modes of representing or reproducing words or figures in a legible and non-transitory form or, to the extent permitted by and in accordance with the Companies Act and other applicable laws, rules and regulations, any visible substitute for writing (including an electronic communication), or modes of representing or reproducing words in visible form, and including where the representation or reproduction takes the form of an electronic display, provided that, where applicable, both the mode of service of the relevant document or notice and any Shareholder’s election comply with the Companies Act and all other applicable laws, rules and regulations;</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document being signed or executed include references to it being signed or executed under hand or under seal or by electronic signature or by electronic communication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meeting shall mean a meeting convened and held in any manner permitted by these Articles and any Shareholder, proxy or Director virtually attending and participating at a meeting by means of electronic facilities shall be deemed to be present and participating at that meeting for all purposes of the Companies Act and these Articles, and attend, participate, attending, participating, attendance and participation shall be construed accordingly;</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person’s participation in the business of a general meeting include, without limitation, and as relevant, the right (including, in the case of a corporation, through a duly authorised representative) to speak or communicate, vote, be represented by a proxy and have access in hard copy or electronic form to all documents which are required by the Companies Act or these Articles to be made available at the meeting, and participate and participating in the business of a general meeting shall be construed accordingly;</w:t>
      </w:r>
    </w:p>
    <w:p>
      <w:pPr>
        <w:spacing w:after="0" w:line="18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poll include, without limitation, a poll conducted using electronic facilities;</w:t>
      </w:r>
    </w:p>
    <w:p>
      <w:pPr>
        <w:spacing w:after="0" w:line="22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vote, votes, voting or votes cast include, without limitation, a vote, votes, voting or votes cast in each case using electronic facilities;</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attendance, attend, attending and attended include, without limitation, virtual attendance, attend virtually, attending virtually and virtually attended in each case using electronic facilities;</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18" w:name="page19"/>
    <w:bookmarkEnd w:id="18"/>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being present or being present in person include, without limitation, such person being virtually present using electronic facilities;</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doing anything personally or being present personally include, without limitation, such person doing anything virtually using electronic facilities or being virtually present using electronic facilities;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voting in person include, without limitation, any person voting using electronic facilities;</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electronic facilities include, without limitation, website addresses, webinars, webcast, video or any form of conference call system (telephone, video, web or otherwise);</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notice in writing include, without limitation, notices given by any electronic means or published on a website or websites; and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is a corporation, any reference in these Articles to a Shareholder shall include a duly authorised representative of such Shareholder.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preceding Articles, any words defined in the Companies Act shall, if not inconsistent with the subject or context, bear the same meaning in these Articles. In addition, for the purposes of these Articles: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Relevant Period, a resolution shall be a Special Resolution when it has been passed by a majority of not less than ¾ of the votes cast by such Shareholders as, being entitled so to do, vote in person or by proxy or, in the cases of Shareholders which are corporations, by their respective duly authorised representatives at a general meeting of which notice specifying the intention to propose the resolution as a special resolution has been duly given;</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an Ordinary Resolution when it has been passed by a simple majority of such Shareholders as, being entitled so to do, vote in person or, where proxies are allowed, by proxy or, in the case of any Shareholder being a corporation, by its duly authorised representative at a general meeting held in accordance with these Articles and of which not less than 14 days’ notice has been duly given; and</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such manner as to indicate, expressly or impliedly, unconditional approval) by or on behalf of all Shareholders for the time being entitled to receive notice of and to attend and vote at general meetings of the Company shall, for the purpose of these Articles, be treated as an Ordinary Resolution duly passed at a general meeting of the Company duly convened and held and, where relevant as a Special Resolution so passed. Any such resolution shall be deemed to have been passed at a meeting held on the date on which it was signed by the last person to sign, and where the resolution states a date as being the date of his signature thereof by any Shareholder the statement shall be prima facie evidence that it was signed by him on that date. Such a resolution may consist of several documents in the like form, and signed by one or more relevant Shareholders.</w:t>
      </w:r>
    </w:p>
    <w:p>
      <w:pPr>
        <w:spacing w:after="0" w:line="200" w:lineRule="exact"/>
        <w:rPr>
          <w:sz w:val="20"/>
          <w:szCs w:val="20"/>
          <w:color w:val="auto"/>
        </w:rPr>
      </w:pPr>
    </w:p>
    <w:p>
      <w:pPr>
        <w:spacing w:after="0" w:line="23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19" w:name="page20"/>
    <w:bookmarkEnd w:id="19"/>
    <w:p>
      <w:pPr>
        <w:ind w:left="130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shall be effective for any purpose for which an Ordinary Resolution is expressed to be required under any provision of these Articles.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and Section 19 of the Electronic Transactions Act (as amended) of the Cayman Islands shall not apply to these Articles to the extent such impose obligations or requirements in addition to those set out in these Articles.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same is permissible under Cayman Islands law and subject to Article 13, a Special Resolution shall be required to alter the Memorandum of Association of the Company, to approve any amendment of the Articles or to change the name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WARRANTS AND MODIFICATION OF RIGHTS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and without prejudice to any special rights or restrictions for the time being attaching to any Shares or any class of Shares including preference Shares, any Share may be issued upon such terms and conditions and with such preferred, deferred or other qualified or special rights, or such restrictions, whether in regard to Dividend, voting, return of capital or otherwise, as the Company may from time to time by Ordinary Resolution determine (or, in the absence of any such determination or so far as the same may not make specific provision, as the Board may determine) and any Share may be issued on the terms that it is liable to be redeemed upon the happening of a specified event or upon a given date and either at the option of the Company, or at the option of the holder. No Shares shall be issued to bearer.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the Board may issue warrants to subscribe for any class of Shares or other securities of the Company, which warrants may be issued on such terms as the Board may from time to time determine. Where warrants are issued to bearer, no certificate thereof shall be issued to replace one that has been lost unless the Board is satisfied beyond reasonable doubt that the original certificate thereof has been destroyed and the Company has received an indemnity in such form as the Board shall think fit with regard to the issue of any such replacement certificate.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at any time the share capital of the Company is divided into different classes of Shares, all or any of the special rights attached to any class (unless otherwise provided for by the terms of issue of the Shares of that class) may, subject to the provisions of the Companies Act, be varied or abrogated either with the consent in writing of not less than three fourths of the voting rights of the holders of that class or with the sanction of a Special Resolution passed at a separate general meeting of the holders of the Shares of that class. To every such separate general meeting the provisions of these Articles relating to general meetings shall mutatis mutandis apply, but so that the necessary quorum shall be not less than persons holding (or, in the case of a Shareholder being a corporation, by its duly authorised representative) or representing by proxy holding one-third of the issued Shares of that class and that any holder of Shares of the class present in person (or in the case of the Shareholder being a corporation, by its duly authorised representative) or by proxy may demand a poll.</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apply to the variation or abrogation of the rights attached to the Shares of any class as if each group of Shares of the class differently treated formed a separate class the rights whereof are to be varied or abrogated.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rights conferred upon the holders of any Shares or class of Shares shall not, unless otherwise expressly provided in the rights attaching to the terms of issue of such Shares be deemed to be altered by the creation or issue of further Shares ranking pari passu therewith.</w:t>
      </w:r>
    </w:p>
    <w:p>
      <w:pPr>
        <w:spacing w:after="0" w:line="171"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authorised share capital of the Company on the date of the adoption of these Articles is </w:t>
      </w:r>
      <w:r>
        <w:rPr>
          <w:rFonts w:ascii="Times New Roman" w:cs="Times New Roman" w:eastAsia="Times New Roman" w:hAnsi="Times New Roman"/>
          <w:sz w:val="18"/>
          <w:szCs w:val="18"/>
          <w:b w:val="1"/>
          <w:bCs w:val="1"/>
          <w:color w:val="auto"/>
        </w:rPr>
        <w:t>US$50,000</w:t>
      </w:r>
      <w:r>
        <w:rPr>
          <w:rFonts w:ascii="Times New Roman" w:cs="Times New Roman" w:eastAsia="Times New Roman" w:hAnsi="Times New Roman"/>
          <w:sz w:val="18"/>
          <w:szCs w:val="18"/>
          <w:color w:val="auto"/>
        </w:rPr>
        <w:t xml:space="preserve"> consisting of </w:t>
      </w:r>
      <w:r>
        <w:rPr>
          <w:rFonts w:ascii="Times New Roman" w:cs="Times New Roman" w:eastAsia="Times New Roman" w:hAnsi="Times New Roman"/>
          <w:sz w:val="18"/>
          <w:szCs w:val="18"/>
          <w:b w:val="1"/>
          <w:bCs w:val="1"/>
          <w:color w:val="auto"/>
        </w:rPr>
        <w:t>500,000,000</w:t>
      </w:r>
      <w:r>
        <w:rPr>
          <w:rFonts w:ascii="Times New Roman" w:cs="Times New Roman" w:eastAsia="Times New Roman" w:hAnsi="Times New Roman"/>
          <w:sz w:val="18"/>
          <w:szCs w:val="18"/>
          <w:color w:val="auto"/>
        </w:rPr>
        <w:t xml:space="preserve"> shares of </w:t>
      </w:r>
      <w:r>
        <w:rPr>
          <w:rFonts w:ascii="Times New Roman" w:cs="Times New Roman" w:eastAsia="Times New Roman" w:hAnsi="Times New Roman"/>
          <w:sz w:val="18"/>
          <w:szCs w:val="18"/>
          <w:b w:val="1"/>
          <w:bCs w:val="1"/>
          <w:color w:val="auto"/>
        </w:rPr>
        <w:t xml:space="preserve">US$0.0001 </w:t>
      </w:r>
      <w:r>
        <w:rPr>
          <w:rFonts w:ascii="Times New Roman" w:cs="Times New Roman" w:eastAsia="Times New Roman" w:hAnsi="Times New Roman"/>
          <w:sz w:val="18"/>
          <w:szCs w:val="18"/>
          <w:color w:val="auto"/>
        </w:rPr>
        <w:t>each.</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from time to time, whether or not all the Shares for the time being authorised shall have been issued and whether or not all the Shares for the time being issued shall have been fully paid up, by Ordinary Resolution increase its share capital by the creation of new Shares, such new capital to be of such amount and to be divided into Shares of such class or classes and of such amounts in Hong Kong dollars or such other currency as the Shareholders may think fit and as the resolution may prescribe.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Shares shall be issued upon such terms and conditions and with such rights, privileges or restrictions attached thereto as the general meeting resolving upon the creation thereof shall direct, and if no direction be given, subject to the provisions of the Companies Act and of these Articles, as the Board shall determine; and in particular such Shares may be issued with a preferential or qualified right to participate in Dividends and in the distribution of assets of the Company and with a special right or without any right of voting.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the issue of any new Shares, determine that the same, or any of them, shall be offered in the first instance, and either at par or at a premium, to all the existing holders of any class of Shares in proportion as nearly as may be to the number of Shares of such class held by them respectively, or make any other provisions as to the allotment and issue such Shares, but in default of any such determination or so far as the same shall not extend, such Shares may be dealt with as if they formed part of the capital of the Company existing prior to the issue of the same.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75" w:lineRule="exact"/>
        <w:rPr>
          <w:rFonts w:ascii="Times New Roman" w:cs="Times New Roman" w:eastAsia="Times New Roman" w:hAnsi="Times New Roman"/>
          <w:sz w:val="18"/>
          <w:szCs w:val="18"/>
          <w:color w:val="auto"/>
        </w:rPr>
      </w:pPr>
    </w:p>
    <w:p>
      <w:pPr>
        <w:ind w:left="1300" w:hanging="1292"/>
        <w:spacing w:after="0" w:line="258"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(a)All unissued Shares and other securities of the Company shall be at the disposal of the Board and it may offer, allot (with or without conferring a right of renunciation), grant options over or otherwise dispose of them to such persons, at such times, for such consideration and generally on such terms (subject to Article 9) as it in its absolute discretion thinks fit, but so that no Shares shall be issued at a discount. The Board shall, as regards any offer or allotment of Shares, comply with the provisions of the Companies Act, if and so far as such provisions may be applicable thereto.</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or other securities of the Company, to make, or make available, and may resolve not to make, or make available, any such allotment, offer, option or Shares or other securities to Shareholders or others with registered addresses in any jurisdiction outside of the Relevant Territory, or in any particular territory or territories being a territory or territories where, in the absence of a registration statement or other special formalities, this would or might, in the opinion of the Board, be unlawful or impracticable, or the existence or extent of the requirement for such registration statement or special formalities might be expensive (whether in absolute terms or in relation to the rights of the Shareholder(s) who may be affected) or time consuming to determine. The Board shall be entitled to make such arrangements to deal with fractional entitlements arising on an offer of any unissued Shares or other securities as it thinks fit, including the aggregation and the sale thereof for the benefit of the Company. Shareholders who may be affected as a result of any of the matters referred to in this paragraph (b) shall not be, and shall be deemed not to be, a separate class of Shareholders for any purposes whatsoever.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ind w:left="1300" w:hanging="1292"/>
        <w:spacing w:after="0" w:line="261"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at any time pay commission to any person for subscribing or agreeing to subscribe (whether absolutely or conditionally) for any Shares or procuring or agreeing to procure subscriptions (whether absolute or conditional) for any Shares, but so that the conditions and requirements of the Companies Act shall be observed and complied with, and in each case the commission shall not exceed 10% of the price at which the Shares are issued.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are issued for the purpose of raising money to defray the expenses of the construction of any works or buildings or the provision of any plant which cannot be made profitable within a period of one year, the Company may pay interest on so much of that share capital as is for the time being paid up for the period and, subject to any conditions and restrictions mentioned in the Companies Act, may charge the sum so paid by way of interest to capital as part of the cost of construction of the works or buildings, or the provisions of the plant.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as provided by Article 7;</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divide all or any of its share capital into Shares of larger or smaller amount than its existing Shares; and on any consolidation of fully paid Shares into Shares of larger amount, the Board may settle any difficulty which may arise as it thinks expedient and in particular (but without prejudice to the generality of the foregoing) may as between the holders of Shares to be consolidated determine which particular Shares are to be consolidated into a consolidated Share, and if it shall happen that any person shall become entitled to fractions of a consolidated Share or Shares, such fractions may be sold by some person appointed by the Board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 or may be paid to the Company for the Company’s benefit;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unissued Shares into several classes and attach thereto respectively any preferential, deferred, qualified or special rights, privileges or conditions;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Memorandum of Association, subject nevertheless to the provisions of the Companies Act,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left="1300" w:right="2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provision for the issue and allotment of Shares which do not carry any voting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denomination of its share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premium account in any manner authorised, and subject to any conditions prescribed by law.</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or undistributable reserve in any manner authorised, and subject to any conditions prescribed, by law.</w:t>
      </w:r>
    </w:p>
    <w:p>
      <w:pPr>
        <w:spacing w:after="0" w:line="161" w:lineRule="exact"/>
        <w:rPr>
          <w:rFonts w:ascii="Times New Roman" w:cs="Times New Roman" w:eastAsia="Times New Roman" w:hAnsi="Times New Roman"/>
          <w:sz w:val="18"/>
          <w:szCs w:val="18"/>
          <w:color w:val="auto"/>
        </w:rPr>
      </w:pPr>
    </w:p>
    <w:p>
      <w:pPr>
        <w:ind w:left="1300" w:hanging="1292"/>
        <w:spacing w:after="0" w:line="252"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(a)Subject to the Companies Act, or any other law or so far as not prohibited by any law and subject to any rights conferred on the holders of any class of Shares, the Company shall have the power to purchase or otherwise acquire all or any of its own Shares (which expression as used in this Article includes redeemable Shares) provided that the manner and terms of purchase have first been authorised by an Ordinary Resolution of the Shareholders, and to purchase or otherwise acquire warrants and other securities for the subscription or purchase of its own Shares, and shares and warrants and other securities for the subscription or purchase of any shares in any company which is its Holding Company and may make payment therefor in any manner and terms authorised or not prohibited by law, including out of capital, or to give, directly or indirectly, by means of a loan, a guarantee, an indemnity, the provision of security or otherwise howsoever, financial assistance for the purpose of or in connection with a purchase or other acquisition made or to be made by any person of any Shares or warrants or other securities in the Company or any company which is a Holding Company of the Company and should the Company purchase or otherwise acquire its own Shares or warrants or other securities neither the Company nor the Board shall be required to select the Shares or warrants or other securities to be purchased or otherwise acquired rateably or in any other manner and terms as between the holders of Shares or warrants or other securities of the same class or as between them and the holders of Shares or warrants or other securities of any other class or in accordance with the rights as to Dividends or capital conferred by any class of Shares provided always that any such purchase or other acquisition or financial assistance shall only be made in accordance with the relevant code, rules or regulations issued from time to time by the HK Stock Exchange and/or the Securities and Futures Commission of Hong Kong from time to time in force.</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 Memorandum of Association of the Company, and to any special rights conferred on the holders of any Shares or attaching to any class of Shares, Shares may be issued on the terms that they may, at the option of the Company or the holders thereof, be liable to be redeemed on such terms and in such manner, including out of capital, as the Board may deem fit.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purchases for redemption a redeemable Share, purchases not made through the market or by tender shall be limited to a maximum price, and if purchases are by tender, tenders shall be available to all Shareholders alike.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redemption of any Share shall not be deemed to give rise to the purchase or redemption of any other Share.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or redeemed shall be bound to deliver up to the Company at the Head Office or such other place as the Board shall specify the certificate(s) thereof for cancellation and thereupon the Company shall pay to him the purchase or redemption monies in respect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 OF SHAREHOLDERS AND SHARE CERTIFICATES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by these Articles or as required by law or as ordered by a court of competent jurisdiction, no person shall be recognised by the Company as holding any Share upon any trust and, except as aforesaid, the Company shall not be bound by or be compelled in any way to recognise (even when having notice thereof) any equitable, contingent, future or partial interest in any Share or any interest in any fractional part of a Share or any other right or claim to or in respect of any Shares except an absolute right to the entirety thereof of the registered holder.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The Board shall cause to be kept the Register and there shall be entered therein the particulars required under the Companies Act.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it necessary or appropriate, the Company may establish and maintain a Principal Register or Branch Register at such location as the Board thinks fit and, during the Relevant Period, the Company shall keep its Principal Register or Branch Register in Hong Kong.</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Period (except when the Register is closed on terms equivalent to section 632 of the Companies Ordinance) as at the date of the adoption of these Articles (or its equivalent provisions from time to time), any Shareholder may inspect during business hours any Register maintained in Hong Kong without charge and require the provision to him of copies or extracts thereof in all respects as if the Company were incorporated under and were subject to the Companies Ordinance.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may be closed at such time or for such period not exceeding in the whole 30 days in each year as the Board may determine.</w:t>
      </w:r>
    </w:p>
    <w:p>
      <w:pPr>
        <w:spacing w:after="0" w:line="225" w:lineRule="exact"/>
        <w:rPr>
          <w:rFonts w:ascii="Times New Roman" w:cs="Times New Roman" w:eastAsia="Times New Roman" w:hAnsi="Times New Roman"/>
          <w:sz w:val="18"/>
          <w:szCs w:val="18"/>
          <w:color w:val="auto"/>
        </w:rPr>
      </w:pPr>
    </w:p>
    <w:p>
      <w:pPr>
        <w:ind w:left="1300" w:hanging="1292"/>
        <w:spacing w:after="0" w:line="25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(a)Every person whose name is entered as a Shareholder in the Register shall be entitled to receive within the relevant time limit as prescribed in the Companies Act or as the HK Stock Exchange may from time to time determine, whichever is shorter, after allotment or lodgement of a transfer (or within such other period as the conditions of issue shall provide or is required by the applicable rules of the stock exchange of the Relevant Territory) one certificate for all his Shares, or, if he shall so request, in a case where the allotment or transfer is of a number of Shares in excess of the number for the time being forming a stock exchange board lot for the purposes of the stock exchange of the Relevant Territory on which the Shares are listed upon payment of such sum (in the case of a transfer, not exceeding in the case of any share capital listed on a stock exchange in Hong Kong, HK$2.50 or such other sum as may from time to time be allowed or not prohibited under the Listing Rules, and in the case of any other Shares, such sum in such currency as the Board may from time to time determine to be reasonable in the territory in which the relevant Register is situated, or otherwise such other sum as the Company may by Ordinary Resolution determine) for every certificate after the first as the Board may from time to time determine, such number of certificates for Shares in stock exchange board lots or whole multiples thereof as he shall request and one for the balance (if any) of the Shares in question, provided that in respect of a Share or Shares held jointly by several persons the Company shall not be bound to issue a certificate or certificates to each such person, and the issue and delivery of a certificate or certificates to one of the joint holders shall be sufficient delivery to all such 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both"/>
        <w:ind w:left="1300" w:hanging="644"/>
        <w:spacing w:after="0" w:line="25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the event of a change in the form of definitive Share certificate adopted by the Board, issue new definitive certificates to all holders of Shares appearing on the Register in replacement of old definitive certificates issued to such holders. The Board may resolve whether or not to require the return of the old certificates as a condition precedent to the issue of replacement certificates and, as regards any old certificates which have been lost or defaced, to impose such conditions (including as to indemnity) as the Board shall see fit. If the Board elects not to require the return of the old certificates, the same shall be deemed to have been cancelled and of no further effect for all purposes.</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certificate for Shares, warrants or debentures or representing any other form of securities of the Company shall be issued under the Seal of the Company, which for this purpose may be a duplicate Seal.</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hereafter issued shall specify the number and class of Shares in respect of which it is issued and the amount paid thereon and may otherwise be in such form as the Board may from time to time prescribe. A share certificate shall relate to only one class of Shares, and where the capital of the Company includes Shares with different voting rights, the designation of each class of Shares, other than those which carry the general right to vote at general meetings, must include the words “restricted voting” or “limited voting” or “non-voting” or some other appropriate designation which is commensurate with the rights attaching to the relevant class of Shares.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shall not be bound to register more than four persons as joint holders of any Share.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shall stand in the names of two or more persons, the person first named in the Register shall be deemed to be sole holder thereof as regards service of notice and, subject to the provisions of these Articles, all or any other matter connected with the Company, except the transfer of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lost or destroyed, it may be replaced on payment of such fee, if any, (not exceeding, in the case of any share capital listed on a stock exchange in Hong Kong, HK$2.50 or such other sum as may from time to time be allowed or not prohibited under the Listing Rules, and, in the case of any other capital, such sum in such currency as the Board may from time to time determine to be reasonable in the territory in which the relevant Register is situated, or such other sum as the Company may by Ordinary Resolution determine) as the Board shall from time to time determine and on such terms and conditions, if any, as to publication of notices, evidence and indemnity as the Board thinks fit and in the case of wearing out or defacement, after delivery up of the old certificate. In the case of destruction or loss, the person to whom such replacement certificate is given shall also bear and pay to the Company all costs and out-of-pocket expenses incidental to the investigation by the Company of the evidence of such destruction or loss and of such indemnity.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and the Company shall also have a first and paramount lien and charge on all Shares (other than fully paid-up Shares) standing registered in the name of a Shareholder, whether singly or jointly with any other person or persons, for all the debts and liabilities of such Shareholder or his estate to the Company and whether the same shall have been incurred before or after notice to the Company of any equitable or other interest of any person other than such Shareholder, and whether the period for the payment or discharge of the same shall have actually arrived or not, and notwithstanding that the same are joint debts or liabilities of such Shareholder or his estate and any other person, whether a Shareholder of the Company or not. The Company’s lien (if any) on a Share shall extend to all Dividends and bonuses declared in respect thereof. The Board may at any time either generally or in any particular case waive any lien that has arisen, or declare any Share to be exempt wholly or partially from the provisions of this Article.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thinks fit, any Shares on which the Company has a lien, but no sale shall be made unless some sum in respect of which the lien exists is presently payable or the liability or engagement in respect of which such lien exists is liable to be presently fulfilled or discharged, nor until the expiration of 14 days after a notice in writing, stating and demanding payment of the sum presently payable or specifying the liability or engagement and demanding fulfilment or discharge thereof and giving notice of intention to sell in default, shall have been given, in the manner in which notices may be sent to Shareholders of the Company as provided in these Articles, to the registered holder for the time being of the Shares, or the person entitled by reason of such holder’s death, bankruptcy or winding-up to the Shares.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after the payment of the costs of such sale shall be applied in or towards payment or satisfaction of the debt or liability or engagement in respect whereof the lien exists, so far as the same is presently payable, and any residue shall (subject to a like lien for debts or liabilities not presently payable as existed upon the Shares prior to the sale) be paid to the person entitled to the Shares at the time of the sale. For the purpose of giving effect to any such sale, the Board may authorise some person to transfer the Shares sold to the purchaser thereof and may enter the purchaser’s name in the Register as holder of the Shares, and the purchaser shall not be bound to see the application of the purchase money, nor shall his title to the Shares be affected by any irregularity or invalidity in the proceedings relating to the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make such calls as it thinks fit upon the Shareholders in respect of any moneys unpaid on the Shares held by them respectively (whether on account of the nominal value of the Shares or by way of premiums) and not by the conditions of allotment thereof made payable at a fixed time. A call may be made payable either in one sum or by instalments.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14 days’ notice of any call shall be given to the relevant Shareholders specifying the time and place of payment and to whom such call shall be paid.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referred to in Article 27 shall be sent to relevant Shareholders in the manner in which notices may be sent to Shareholders by the Company as herein provided.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giving of notice in accordance with Article 28, notice of the person appointed to receive payment of every call and of the times and places appointed for payment may be given to the relevant Shareholders by notice to be inserted at least once in the Newspapers.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upon whom a call is made shall pay the amount of every call so made on him to the person and at the time or times and place or places as the Board shall appoint.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Board authorising such call was passed.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severally as well as jointly liable for the payment of all calls and instalments due in respect of such Share or other moneys due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from time to time at its discretion may extend the time fixed for any call, and may extend such time as regards all or any of the Shareholders, whom due to residence outside the Relevant Territory or other cause the Board may deem entitled to any such extension but no Shareholder shall be entitled to any such extension except as a matter of grace and favour.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sum payable in respect of any call or instalment is not paid before or on the day appointed for payment thereof, the person or persons from whom the sum is due shall pay interest on the same at such rate not exceeding 20% per annum as the Board shall fix from the day appointed for the payment thereof to the time of the actual payment, but the Board may waive payment of such interest wholly or in part.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receive any Dividend or bonus or to be present or vote (save as proxy or authorised representative for another Shareholder) at any general meeting, either personally, or (save as proxy or authorised representative for another Shareholder) by proxy, or be reckoned in a quorum, or to exercise any other privilege as a Shareholder until all calls or instalments due from him to the Company, whether alone or jointly or jointly and severally with any other person, together with interest and expenses (if any) shall have been paid.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any money due for any call, it shall be sufficient to prove that the name of the Shareholder sued is entered in the Register as the holder, or one of the holders, of the Shares in respect of which such debt accrues; that the resolution of the Board making the call has been duly recorded in the minute book of the Board; and that notice of such call was given to the Shareholder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left="1300" w:hanging="1292"/>
        <w:spacing w:after="0" w:line="258" w:lineRule="auto"/>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(a)Any sum which by the terms of allotment of a Share is made payable upon allotment or at any fixed date, whether on account of the nominal value of the Share and/or by way of premium, shall for all purposes of these Articles be deemed to be a call duly made and notified and payable on the date fixed for payment, and in case of non-payment all the relevant provisions of these Articles as to payment of interest and expenses, forfeiture and the like, shall apply as if such sums had become payable by virtue of a call duly made and notified.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the issue of Shares differentiate between the allottees or holders as to the amount of calls to be paid and the time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Shareholder willing to advance the same, and either in money or money’s worth, all or any part of the money uncalled and unpaid or instalments payable upon any Shares held by him, and in respect of all or any of the moneys so advanced may pay interest at such rate (if any) not exceeding 20% per annum, as the Board may decide but a payment in advance of a call shall not entitle the Shareholder to receive any Dividend subsequently declared or to exercise any other rights or privileges as a Shareholder in respect of the Share or the due portion of the Shares upon which payment has been advanced by such Shareholder before it is called up. The Board may at any time repay the amount so advanced upon giving to such Shareholder not less than one Month’s notice in writing of its intention on that behalf, unless before the expiration of such notice the amount so advanced shall have been called up on the Shares in respect of which it was advanced.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all transfers of Shares shall be effected by transfer in writing in the usual or common form or in such other form as the Board may accept provided always that it shall be in such a form prescribed by the HK Stock Exchange and may be under hand only or, if the transferor or transferee is a Clearing House (or its nominee(s)), under hand or by machine imprinted signature or by such other means of execution as the Board may approve from time to time.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executed by or on behalf of the transferor and by or on behalf of the transferee provided that the Board may dispense with the execution of the instrument of transfer by the transferor or the transferee or accept mechanically executed transfers in any case in which it in its absolute discretion thinks fit to do so.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83" w:lineRule="exact"/>
        <w:rPr>
          <w:rFonts w:ascii="Times New Roman" w:cs="Times New Roman" w:eastAsia="Times New Roman" w:hAnsi="Times New Roman"/>
          <w:sz w:val="18"/>
          <w:szCs w:val="18"/>
          <w:color w:val="auto"/>
        </w:rPr>
      </w:pPr>
    </w:p>
    <w:p>
      <w:pPr>
        <w:ind w:left="1300" w:right="20" w:hanging="1292"/>
        <w:spacing w:after="0" w:line="282"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Board may, in its absolute discretion at any time and from time to time, remove any Share on the Principal Register to any Branch Register or any Share on any branch Register to the Principal Register or any other Branch Register.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stipulate, and which agreement it shall, without giving any reason therefore, be entitled in its absolute discretion to give or withhold) no Shares on the Principal Register shall be removed to any Branch Register nor shall Shares on any Branch Register be removed to the Principal Register or any other Branch Register and all removals and other documents of title relating to or affecting the title to any share or other securities of the Company shall be lodged for registration, and be registered, in the case of any Shares on a Branch Register, at the relevant Registration Office, and, in the case of any Shares on the Principal Register, at the Transfer Office.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these Articles, the Company shall as soon as practicable and on a regular basis record in the Principal Register all removals of Shares effected on any Branch Register and shall at all times maintain the Principal Register and all Branch Registers in all respects in accordance with the Companies Act.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Shares shall be free from any restriction with respect to the right of the holder thereof to transfer such Shares (except when permitted by the HK Stock Exchange) and shall also be free from all liens. The Board however, may, in its absolute discretion, refuse to register a transfer of any Share which is not fully paid to a person of whom it does not approve or any Share issued under any share option scheme upon which a restriction on transfer imposed thereby still subsists, and it may also refuse to register a transfer of any Share (whether fully paid up or not) to more than four joint holders or a transfer of any Shares (not being a fully paid up Share) on which the Company has a lien.</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decline to recognise any instrument of transfer unless: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as the HK Stock Exchange may from time to time determine to be payable (or such lesser sum as the Board may from time to time require) has been paid to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relevant Registration Office or, as the case may be, the Transfer Office accompanied by the certificate of the Shares to which it relates, and such other evidence as the Board may reasonably require to show the right of the transferor to make the transfer (and, if the instrument of transfer is executed by some other person on his behalf, the authority of that person so to do);</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concerned are free of any lien in favour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properly stamped.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refuse to register a transfer of any Share to an infant or to a person of unsound mind or under other legal disability.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shall refuse to register a transfer of any Share, it shall, within two months after the date on which the transfer was lodged with the Company, send to each of the transferor and the transferee notice of such refusal and, except where the subject Share is not a fully paid Share, the reason(s) for such refusal.</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in respect thereof held by the transferor shall be given up to be cancelled, and shall forthwith be cancelled accordingly, and a new certificate shall be issued to the transferee in respect of the Shares transferred to him as provided in Article 18, and if any of the Shares included in the certificate so given up shall be retained by the transferor a new certificate in respect thereof shall be issued to him as provided in Article 18. The Company shall retain the instrument of transfer.</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be suspended when the Register is closed in accordance with Article 17(d).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death of a Shareholder, the survivor or survivors where the deceased was a joint holder, and the legal personal representatives of the deceased where he was a sole or only surviving holder, shall be the only persons recognised by the Company as having any title to his interest in the Shares; but nothing herein contained shall release the estate of a deceased holder (whether sole or joint) from any liability in respect of any Share solely or jointly held by him.</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winding-up of a Shareholder may, upon such evidence as to his title being produced as may from time to time be required by the Board, and subject as hereinafter provided, elect either to be registered himself as holder of the Share or to have some person nominated by him registered as the transferee thereof.</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becoming entitled to a Share pursuant to Article 49 shall elect to be registered himself as the holder of such Share, he shall deliver or send to the Company a notice in writing signed by him, at (unless the Board otherwise agrees) the Registration Office, stating that he so elects. If he shall elect to have his nominee registered, he shall testify his election by executing a transfer of such Share to his nominee. All the limitations, restrictions and provisions of these Articles relating to the right to transfer and the registration of transfers of Shares shall be applicable to any such notice or transfer as aforesaid as if the death, bankruptcy or winding-up of the Shareholder had not occurred and the notice or transfer were a transfer executed by such Shareholder.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bankruptcy or winding-up of the holder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92 being met, such a person may vote at general meetings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on the day appointed for payment thereof, the Board may, at any time thereafter during such time as any part of the call or instalment remains unpaid, without prejudice to the provisions of Article 34, serve notice on him requiring payment of so much of the call or instalment as is unpaid, together with any interest which may have accrued and which may still accrue up to the date of actual payment.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days from the date of the notice) on or before which the payment required by the notice is to be made, and it shall also name the place where payment is to be made such place being the Registered Office or a Registration Office or another place within the Relevant Territory. The notice shall also state that, in the event of non-payment at or before the time appointed, the Shares in respect of which the call was made will be liable to be forfeited.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Board to that effect. Such forfeiture shall include all Dividends and bonuses declared in respect of the forfeited Share and not actually paid before the forfeiture. The Board may accept the surrender of any Share liable to be forfeited hereunder and in such cases references in these Articles to forfeiture shall include surrender.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to be the property of the Company, and may be re-allotted, sold or otherwise disposed of on such terms and in such manner as the Board thinks fit and at any time before a sale or disposition, the forfeiture may be cancelled on such terms as the Board thinks fit.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nevertheless, remain liable to pay to the Company all moneys which, at the date of forfeiture, were payable by him to the Company in respect of the forfeited Shares, together with (if the Board shall in its discretion so require) interest thereon from the date of forfeiture until the date of actual payment (including the payment of such interest) at such rate not exceeding 20% per annum as the Board may prescribe, and the Board may enforce the payment thereof if it thinks fit, and without any deduction or allowance for the value of the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such time has not yet arrived be deemed to be payable on the date of forfeiture, and the same shall become due and payable immediately upon the forfeiture, but interest thereon shall only be payable in respect of any period between the said fixed time and the date of actual payment.</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that the declarant is a Director or the Secretary, and that a Share has been duly forfeited or surrendered on a date stated in the certificate, shall be conclusive evidence of the facts therein stated as against all persons claiming to be entitled to the Share. The Company may receive the consideration, if any, given for the Share on any re-allotment, sale or disposition thereof and may execute a transfer of the Share in favour of the person to whom the Share is re-allotted, sold or disposed of and such person shall thereupon be registered as the holder of the Share, and shall not be bound to see to the application of the subscription or purchase money, (if any), nor shall his title to the Share be affected by any irregularity or invalidity in the proceedings in reference to the forfeiture, re-allotment, sale or disposal of such Share.</w:t>
      </w:r>
    </w:p>
    <w:p>
      <w:pPr>
        <w:spacing w:after="0" w:line="187"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shall have been forfeited, notice of the forfeiture shall be given to the Shareholder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before any Shares so forfeited shall have been re-allotted, sold or otherwise disposed of, cancel the forfeiture on such terms as it thinks fit or permit the Shares so forfeited to be bought back or redeemed upon the terms of payment of all calls and interest due upon and expenses incurred in respect of the Shares, and upon such further terms (if any) as it thinks fit.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call already made or any instalment payment thereon.</w:t>
      </w:r>
    </w:p>
    <w:p>
      <w:pPr>
        <w:spacing w:after="0" w:line="225"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provisions of these Articles as to forfeiture shall apply in the case of non-payment of any sum which, by terms of issue of a Share, becomes payable at a fixed time, whether on account of the nominal value of the Share or by way of premium, as if the same had been payable by virtue of a call duly made and notified.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forfeiture of Shares the Shareholder shall be bound to deliver and shall forthwith deliver to the Company the certificate or certificates held by him for the Shares so forfeited and in any event the certificates representing Shares so forfeited shall be void and of no further effect.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the Company purchases, redeems or acquires (by way of surrender or otherwise) may, at the option of the Company, be cancelled immediately or held as Treasury Shares in accordance with the Companies Act. In the event that the Directors do not specify that the relevant Shares are to be held as Treasury Shares, such Shares shall be cancelled.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declared or paid in respect of a Treasury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entered in the Register as the holder of the Treasury Shares provided that: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Company on such terms and conditions as determined by the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year of the Company’s adoption of these Articles, in each financial year during the Relevant Period, the Company shall hold a general meeting as its annual general meeting in addition to any other meeting in that year and shall specify the meeting as such in the notice calling it. The Company shall hold the annual general meeting within six months after the end of its financial year. The annual general meeting shall be held at such time and place as the Board may determine.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absolute discretion, arrange for persons entitled to attend a general meeting to do so by either one or both of the following:</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8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attendance at a location (the “</w:t>
      </w:r>
      <w:r>
        <w:rPr>
          <w:rFonts w:ascii="Times New Roman" w:cs="Times New Roman" w:eastAsia="Times New Roman" w:hAnsi="Times New Roman"/>
          <w:sz w:val="18"/>
          <w:szCs w:val="18"/>
          <w:b w:val="1"/>
          <w:bCs w:val="1"/>
          <w:color w:val="auto"/>
        </w:rPr>
        <w:t>Meeting Location</w:t>
      </w:r>
      <w:r>
        <w:rPr>
          <w:rFonts w:ascii="Times New Roman" w:cs="Times New Roman" w:eastAsia="Times New Roman" w:hAnsi="Times New Roman"/>
          <w:sz w:val="18"/>
          <w:szCs w:val="18"/>
          <w:color w:val="auto"/>
        </w:rPr>
        <w:t>”) or locations (the “</w:t>
      </w:r>
      <w:r>
        <w:rPr>
          <w:rFonts w:ascii="Times New Roman" w:cs="Times New Roman" w:eastAsia="Times New Roman" w:hAnsi="Times New Roman"/>
          <w:sz w:val="18"/>
          <w:szCs w:val="18"/>
          <w:b w:val="1"/>
          <w:bCs w:val="1"/>
          <w:color w:val="auto"/>
        </w:rPr>
        <w:t>Meeting Locations</w:t>
      </w:r>
      <w:r>
        <w:rPr>
          <w:rFonts w:ascii="Times New Roman" w:cs="Times New Roman" w:eastAsia="Times New Roman" w:hAnsi="Times New Roman"/>
          <w:sz w:val="18"/>
          <w:szCs w:val="18"/>
          <w:color w:val="auto"/>
        </w:rPr>
        <w:t>”) as determined by the Board in its absolute discretion and (ii) virtual attendance by means of electronic facilities as determined by the Board in its absolute discretion. Without prejudice to any other provision of these Articles, any Shareholder or any proxy physically attending in any such way and any Shareholder or any proxy virtually attending in any electronic meeting or any hybrid meeting in any such way is deemed to be present at and shall be counted in the quorum of the meeting.</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are subject to the following: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all the Shareholders or their proxies physically attend at more than one Meeting Location, the meeting shall be treated as having commenced if it has commenced at the Principal Meeting Place;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hybrid meeting, the meeting shall be treated as having commenced if it has commenced at the Meeting Location or, if there is more than one Meeting Location, the Principal Meeting Place;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electronic meeting, the meeting shall be treated as having commenced if it has commenced at the place where the chair of such meeting is physically present;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present in person or by proxy at a Meeting Location and/or Shareholders or their proxies virtually attending any electronic meeting or hybrid meeting by means of electronic facilities shall be counted in the quorum for and entitled to vote at the meeting in question, and that meeting shall be duly constituted and its proceedings valid provided that, where applicable, the chair of the meeting is satisfied that adequate electronic facilities are available throughout the meeting to ensure that Shareholders attending and participating at a meeting by means of electronic facilities are able to participate in the business for which the meeting has been convened;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70, where Shareholders (and any of their proxies) attend a meeting by being present at one of the Meeting Locations and/or where Shareholders (and any of their proxies) virtually attend any electronic meeting or hybrid meeting by means of electronic facilities, a failure (for any reason) of the electronic facilities or communication equipment, or any other failure in the arrangements for enabling those in a Meeting Location other than the Principal Meeting Place to participate in the business for which the meeting has been convened or in the case of an electronic meeting or a hybrid meeting, the inability of one or more Shareholders or proxies to access, or continue to access, the electronic facilities despite adequate electronic facilities having been made available by the Company, shall not affect the validity of the meeting or the resolutions passed, or any business conducted there or any action taken pursuant to such business provided that there is a quorum present throughout the meeting;</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Meeting Location, the provisions of these Articles concerning the service and giving of notice for the meeting, and the time for lodging proxies, shall apply by reference to the Principal Meeting Place;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electronic meeting or (unless Article 68(f) applies) a hybrid meeting, the time for lodging proxies shall be as stated in the notice for the meeting.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both"/>
        <w:ind w:left="660" w:hanging="652"/>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at any general meeting, the chair of the meeting may from time to time make arrangements for managing attendance and/or participation and/or voting at the Principal Meeting Place, any other Meeting Location and/or any electronic meeting or a hybrid meeting (whether involving the issue of tickets or some other means of identification, passcode, seat reservation, electronic voting or otherwise) as it shall in its absolute discretion consider appropriate, and may from time to time change any such arrangements.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 of the general meeting that: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facilities at the Principal Meeting Place or at any other Meeting Location at which the meeting may be attended have become inadequate for the purposes of conducting the meeting or are otherwise not sufficient to allow the meeting to be conducted substantially in accordance with the provisions set out in the notice of the meeting;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electronic meeting or a hybrid meeting, electronic facilities being made available by the Company have become inadequate;</w:t>
      </w:r>
    </w:p>
    <w:p>
      <w:pPr>
        <w:spacing w:after="0" w:line="161" w:lineRule="exact"/>
        <w:rPr>
          <w:rFonts w:ascii="Times New Roman" w:cs="Times New Roman" w:eastAsia="Times New Roman" w:hAnsi="Times New Roman"/>
          <w:sz w:val="18"/>
          <w:szCs w:val="18"/>
          <w:color w:val="auto"/>
        </w:rPr>
      </w:pPr>
    </w:p>
    <w:p>
      <w:pPr>
        <w:ind w:left="1140" w:hanging="498"/>
        <w:spacing w:after="0" w:line="282"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ascertain the view of those present or to give all persons entitled to do so a reasonable opportunity to communicate and/or vote at the meeting; or</w:t>
      </w:r>
    </w:p>
    <w:p>
      <w:pPr>
        <w:spacing w:after="0" w:line="161" w:lineRule="exact"/>
        <w:rPr>
          <w:rFonts w:ascii="Times New Roman" w:cs="Times New Roman" w:eastAsia="Times New Roman" w:hAnsi="Times New Roman"/>
          <w:sz w:val="18"/>
          <w:szCs w:val="18"/>
          <w:color w:val="auto"/>
        </w:rPr>
      </w:pPr>
    </w:p>
    <w:p>
      <w:pPr>
        <w:ind w:left="1140" w:hanging="498"/>
        <w:spacing w:after="0" w:line="282"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violence or the threat of violence, unruly behaviour or other disruption occurring at the meeting or it is not possible to secure the proper and orderly conduct of the meeting,</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then without prejudice to any other power which the chair of the meeting may have under these Articles or at common law, the chair may, at their absolute discretion, without the consent of the meeting, and before or after the meeting has started and irrespective of whether a quorum is present, interrupt or adjourn the meeting (including adjournment for an indefinite period). All business conducted at the meeting up to the time of such adjournment shall be valid.</w:t>
      </w:r>
    </w:p>
    <w:p>
      <w:pPr>
        <w:spacing w:after="0" w:line="180" w:lineRule="exact"/>
        <w:rPr>
          <w:sz w:val="20"/>
          <w:szCs w:val="20"/>
          <w:color w:val="auto"/>
        </w:rPr>
      </w:pPr>
    </w:p>
    <w:p>
      <w:pPr>
        <w:jc w:val="both"/>
        <w:ind w:left="660" w:hanging="652"/>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at any general meeting, the chair of the meeting may make any arrangement, determine and/or implement any requirements, procedures or measures which the Board or the chair of the meeting, as the case may be, considers appropriate to ensure the security and facilitate the orderly and effective conduct of a meeting (including, without limitation, requirements for evidence of identity to be produced by those attending the meeting, and determining the number and frequency of and the time allowed for questions that may be raised at a meeting). Shareholders shall also comply with all requirements imposed by the owner of the premises at which the meeting is held. Any decision made under this Article shall be final and conclusive and a person who refuses to comply with any such arrangements or requirements may be refused entry to the meeting or ejected (physically or electronically) from the meeting.</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seeking to attend and participate in an electronic meeting or a hybrid meeting shall be responsible for maintaining adequate facilities to enable them to do so. Subject to Article 70, any inability of a person or persons to attend or participate in a general meeting by way of electronic facilities shall not invalidate the proceedings of and/or resolutions passed at that meeting.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both"/>
        <w:ind w:left="660" w:right="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Articles 67 to 72, a meeting may also be held by means of such telephone, electronic or other communication facilities as permit all persons participating in the meeting to communicate with each other simultaneously and instantaneously, and participation in such meeting shall be deemed to constitute presence at such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 All general meetings (including an annual general meeting or any adjourned meeting) may be held as a physical meeting in any part of the world and at one or more locations as provided in Article 67, as a hybrid meeting or as an electronic meeting, as may be determined by the Board.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whenever it thinks fit, convene an extraordinary general meeting. Extraordinary general meetings shall also be convened on the requisition of one or more Shareholders holding, at the date of deposit of the requisition, not less than one tenth of the voting rights, on a one vote per Share basis, in the share capital of the Company. Such requisition shall be made in writing to the Board or the Secretary for the purpose of requiring an extraordinary general meeting to be called by the Board for the transaction of any business specified in such requisition. Such meeting shall be held within two Months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 The requisitionist(s) may add resolutions to the agenda of a general meeting requisitioned under this Article.</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of the Company shall be called by at least 21 days’ notice in writing, and a general meeting of the Company, other than an annual general meeting, shall be called by at least 14 days’ notice in writing. The notice shall be exclusive of the day on which it is served or deemed to be served and of the day for which it is given, and shall specify (i) the time, date and agenda of the meeting (ii) save for an electronic meeting, the place of the meeting and if there is more than one Meeting Location as determined by the Board pursuant to Article 67, the principal place of the meeting (such principal place of the meeting being the “</w:t>
      </w:r>
      <w:r>
        <w:rPr>
          <w:rFonts w:ascii="Times New Roman" w:cs="Times New Roman" w:eastAsia="Times New Roman" w:hAnsi="Times New Roman"/>
          <w:sz w:val="18"/>
          <w:szCs w:val="18"/>
          <w:b w:val="1"/>
          <w:bCs w:val="1"/>
          <w:color w:val="auto"/>
        </w:rPr>
        <w:t>Principal Meeting Place</w:t>
      </w:r>
      <w:r>
        <w:rPr>
          <w:rFonts w:ascii="Times New Roman" w:cs="Times New Roman" w:eastAsia="Times New Roman" w:hAnsi="Times New Roman"/>
          <w:sz w:val="18"/>
          <w:szCs w:val="18"/>
          <w:color w:val="auto"/>
        </w:rPr>
        <w:t>”), (iii) if the general meeting is to be a hybrid meeting or an electronic meeting, the notice shall include a statement to that effect and with details of the electronic facilities for attendance and participation by electronic means at the meeting or where such details will be made available by the Company prior to the meeting, and (iv) particulars of the resolutions to be considered at that meeting and in the case of special business (as defined in Article 78), the general nature of that business, and shall be given, in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can be demonstrated to the HK Stock Exchange that reasonable written notice can be given in less time, and it is so agreed:</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called as the annual general meeting, by all the Shareholders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by a majority in number of the Shareholders having a right to attend and vote at the meeting, being a majority together holding not less than 95% of the total voting rights at the meeting of all members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accidental omission to give any notice to, or the non-receipt of any notice by, any person entitled to receive notice shall not invalidate any resolution passed or any proceedings at any such meeting.</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forms of proxy or notice of appointment of corporate representative are to be sent out with any notice, the accidental omission to send such forms of proxy or notice of appointment of corporate representative to, or the non-receipt of such forms by, any person entitled to receive notice of the relevant meeting shall not invalidate any resolution passed or any proceeding at any such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shall be deemed special that is transacted at an extraordinary general meeting and also all business shall be deemed special that is transacted at an annual general meeting with the exception of the following, which shall be deemed ordinary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sanctioning of Dividends;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adoption of the accounts and balance sheets and the reports of the Directors and Auditors and other documents required to be annexed to the balance sheets;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in place of those retiring;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Auditors;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fixing of, or the determining of the method of fixing of the remuneration of the Directors and of the Auditors;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any mandate or authority to the Board to offer, allot, grant options over, or otherwise dispose of the unissued Shares representing not more than 20% (or such other percentage as may from time to time be specified in the Listing Rules) in nominal value of its then existing issued share capital and the number of any securities repurchased pursuant to paragraph (g) of this Article;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any mandate or authority to the Board to repurchase securities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the quorum for a general meeting shall be two Shareholders present in person (or, in the case of a Shareholder being a corporation, by its duly authorised representative) or by proxy and entitled to vote. No business shall be transacted at any general meeting unless the requisite quorum shall be present at the time when the meeting proceeds to business and continues to be present until the conclusion of the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15 minutes from the time appointed for the meeting a quorum is not present, the meeting, if convened upon the requisition of Shareholders, shall be dissolved, but in any other case it shall stand adjourned to the same day in the next week and at such time and place (where applicable) as shall be decided by the Board, and if at such adjourned meeting a quorum is not present within 15 minutes from the time appointed for holding the meeting, the Shareholder or the Shareholders present in person (or, in the case of a Shareholder being a corporation by its duly authorised representative) or by proxy and entitled to vote shall be a quorum and may transact the business for which the meeting was called.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both"/>
        <w:ind w:left="660" w:hanging="652"/>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Company or if he is absent or declines to take the chair at such meeting, the vice chairman (if any) of the Company shall take the chair at every general meeting, or, if there be no such chairman or vice chairman, or, if at any general meeting neither of such chairman or vice chairman is present within 15 minutes after the time appointed for holding such meeting, or both such persons decline to take the chair at such meeting, the Directors present shall choose one of their number as chairman of the meeting, and if no Director be present or if all the Directors present decline to take the chair or if the chairman chosen shall retire from the chair, then the Shareholders present shall choose one of their number to be chairman of the meeting.</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 general meeting (be it a physical meeting, a hybrid meeting or an electronic meeting) may attend, preside as chair at, and conduct proceedings of, such meeting by means of electronic facilities.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70, the chairman of the meeting may, with the consent of any general meeting at which a quorum is present, and shall, if so directed by the meeting, adjourn any meeting from time to time (or indefinitely) and from place to place and from one form to another (such as a physical meeting, a hybrid meeting or an electronic meeting) as the meeting shall determine. Whenever a meeting is adjourned for 14 days or more, at least seven clear days’ notice, specifying the details set out in Article 76 shall be given in the same manner as in the case of an original meeting but it shall not be necessary to specify in such notice the nature of the business to be transacted at the adjourned meeting. Save as aforesaid, no notice of an adjournment or of the business to be transacted at any adjourned meeting needs to be given nor shall any Shareholder be entitled to any such notice. No business shall be transacted at an adjourned meeting other than the business which might have been transacted at the meeting from which the adjournment took place.</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by poll save that the chairman of the meeting may, pursuant to the Listing Rules, allow a resolution to be voted by a show of hands. Where a show of hands is allowed, before or on the declaration of the result of the show of hands, a poll may be demanded by: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Shareholders present in person (or, in the case of a Shareholder being a corporation, by its duly authorised representative) or by proxy for the time being entitled to vote at the meeting;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present in person (or, in the case of a Shareholder being a corporation, by its duly authorised representative) or by proxy and representing not less than one-tenth of the total voting rights, on a one vote per Share basis, of all the Shareholders having the right to vote at the meeting;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present in person (or, in the case of a Shareholder being a corporation, by its duly authorised representative) or by proxy and holding Shares conferring a right to vote at the meeting being Shares on which an aggregate sum has been paid up equal to not less than one-tenth of the total sum paid up on all the Shares conferring that right.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is voted on by a show of hands, a declaration by the chairman of the meeting that a resolution has on a show of hands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in favour of or against such resolution.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in such manner (including the use of ballot or voting papers or tickets or other electronic means) and at such time and place as the chairman of the meeting directs. No notice need be given of a poll not taken immediately. The result of the poll shall be deemed to be the resolution of the meeting at which the poll was required or demanded. In the event that a poll is demanded after the chairman of the meeting allows a show of hands pursuant to Article 84, the demand for a poll may be withdrawn, with the consent of the chairman of the meeting, at any time before the close of the meeting at which the poll was demanded or the taking of the poll, whichever is the earlier.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on the election of a chairman of a meeting or on any question of adjournment shall be taken at the meeting and without adjournment.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shall be entitled to a second or casting vote. In case of any dispute as to the admission or rejection of any vote, the chairman of the meeting shall determine the same, and such determination shall be final and conclusive.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for the transaction of any business other than the question on which a poll has been demanded.</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shall be proposed to any resolution under consideration but shall in good faith be ruled out of order by the chairman of the meeting, the proceedings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special rights, privileges or restrictions as to voting for the time being attached to any class or classes of Shares, at any general meeting on a poll every Shareholder present in person (or, in the case of a Shareholder being a corporation, by its duly authorised representative) or by proxy, shall have one vote for every Share of which he is the holder which is fully paid or credited as fully paid (but so that no amount paid or credited as paid on a Share in advance of calls or instalments shall be treated for the purposes of this Article as paid on the Share), and on a show of hands every Shareholder who is present in person (or, in the case of a Shareholder being a corporation, by its duly authorised representative) or by proxy shall (save as provided otherwise in this Article) have one vote. On a poll a Shareholder entitled to more than one vote need not use all his votes or cast all his votes in the same way. Notwithstanding anything contained in these Articles, where more than one proxy is appointed by a Shareholder which is a Clearing House (or its nominee(s)), each such proxy shall have one vote on a show of hands and on a poll, each such proxy is under no obligation to cast all his votes in the same way.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both"/>
        <w:ind w:left="660" w:right="2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91A.</w:t>
      </w:r>
      <w:r>
        <w:rPr>
          <w:sz w:val="20"/>
          <w:szCs w:val="20"/>
          <w:color w:val="auto"/>
        </w:rPr>
        <w:tab/>
      </w:r>
      <w:r>
        <w:rPr>
          <w:rFonts w:ascii="Times New Roman" w:cs="Times New Roman" w:eastAsia="Times New Roman" w:hAnsi="Times New Roman"/>
          <w:sz w:val="18"/>
          <w:szCs w:val="18"/>
          <w:color w:val="auto"/>
        </w:rPr>
        <w:t>Shareholders must have the right to: (a) speak at general meetings of the Company; and (b) vote at a general meeting except where a Shareholder is required, by the Listing Rules, to abstain from voting to approve the matter under consideration.</w:t>
      </w:r>
    </w:p>
    <w:p>
      <w:pPr>
        <w:spacing w:after="0" w:line="162" w:lineRule="exact"/>
        <w:rPr>
          <w:sz w:val="20"/>
          <w:szCs w:val="20"/>
          <w:color w:val="auto"/>
        </w:rPr>
      </w:pPr>
    </w:p>
    <w:p>
      <w:pPr>
        <w:jc w:val="both"/>
        <w:ind w:left="660" w:hanging="65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91B.</w:t>
      </w:r>
      <w:r>
        <w:rPr>
          <w:sz w:val="20"/>
          <w:szCs w:val="20"/>
          <w:color w:val="auto"/>
        </w:rPr>
        <w:tab/>
      </w:r>
      <w:r>
        <w:rPr>
          <w:rFonts w:ascii="Times New Roman" w:cs="Times New Roman" w:eastAsia="Times New Roman" w:hAnsi="Times New Roman"/>
          <w:sz w:val="18"/>
          <w:szCs w:val="18"/>
          <w:color w:val="auto"/>
        </w:rPr>
        <w:t>Where the Company has knowledge that any Shareholder is, under the Listing Rules, required to abstain from voting on any particular resolution or restricted to voting only for or only against any particular resolution, any votes cast by or on behalf of such Shareholder in contravention of such requirement or restriction shall not be counted.</w:t>
      </w:r>
    </w:p>
    <w:p>
      <w:pPr>
        <w:spacing w:after="0" w:line="176" w:lineRule="exact"/>
        <w:rPr>
          <w:sz w:val="20"/>
          <w:szCs w:val="20"/>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51 to be registered as the holder of any Shares may vote at any general meeting in respect thereof in the same manner as if he were the registered holder of such Shares, provided that at least 48 hours before the time of the holding of the meeting or adjourned meeting (as the case may be) at which he proposes to vote, he shall satisfy the Board of his right to be registered as the holder of such Shares or the Board shall have previously admitted his right to vote at such meeting in respect thereof.</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registered holders of any Share, any one of such persons may vote at any meeting, either personally or by proxy, in respect of such Share as if he were solely entitled thereto; but if more than one of such joint holders be present at any meeting personally or by proxy, that one of the said persons so present whose name stands first on the Register in respect of such Share shall alone be entitled to vote in respect thereof. Several executors or administrators of a deceased Shareholder, and several trustees in bankruptcy or liquidators of a Shareholder in whose name any Share stands shall for the purposes of this Article be deemed joint holders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made by any court having jurisdiction in lunacy may vote, whether on a poll or on a show of hands, by his committee or receiver, or other person in the nature of a committee or receiver appointed by that court, and any such committee, receiver or other person may vote on a poll by proxy. Evidence to the satisfaction of the Board of the authority of the person claiming to exercise the right to vote shall be delivered to such place or one of such places (if any) as is specified in accordance with these Articles for the deposit of instruments of proxy or, if no place is specified, at the Registration Office, not later than the latest time at which an instrument of proxy must, if it is to be valid for the meeting, be delivered.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provided in these Articles or otherwise determined by the Board, no person other than a Shareholder duly registered and who shall have paid everything for the time being due from him payable to the Company in respect of his Shares shall be entitled to be present or to vote (save as proxy or authorised representative for another Shareholder) whether personally, by proxy or by attorney or to be reckoned in the quorum, at any general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person exercising or purporting to exercise a vote or the admissibility of any vote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PROXY AND CORPORATE REPRESENTATIVE</w:t>
      </w:r>
    </w:p>
    <w:p>
      <w:pPr>
        <w:spacing w:after="0" w:line="229" w:lineRule="exact"/>
        <w:rPr>
          <w:sz w:val="20"/>
          <w:szCs w:val="20"/>
          <w:color w:val="auto"/>
        </w:rPr>
      </w:pPr>
    </w:p>
    <w:p>
      <w:pPr>
        <w:jc w:val="both"/>
        <w:ind w:left="660" w:hanging="652"/>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entitled to attend and vote at a meeting of the Company shall be entitled to appoint another person as his proxy to attend and vote instead of him. A Shareholder who is the holder of two or more Shares may appoint more than one proxy to represent him and vote on his behalf at a general meeting of the Company or at a class meeting. A proxy need not be a Shareholder of the Company. On a poll or a show of hands votes may be given either personally (or, in the case of a Shareholder being a corporation, by its duly authorised representative) or by proxy. A proxy shall be entitled to exercise the same powers on behalf of a Shareholder who is an individual and for whom he acts as proxy as such Shareholder could exercise. In addition, a proxy shall be entitled to exercise the same powers on behalf of a Shareholder which is a corporation and for which he acts as proxy as such Shareholder could exercise if it were an individual Shareholder.</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proxy shall be valid unless it names the person appointed and his appointor. The Board may, unless it is satisfied that the person purporting to act as proxy is the person named in the relevant instrument for his appointment and the validity and authenticity of the signature of his appointor, decline such person’s admission to the relevant meeting, reject his vote or, in the event that a poll is demanded after the chairman of the meeting allows a show of hands pursuant to Article 84, his demand for a poll and no Shareholder who may be affected by any exercise by the Board of its power in this connection shall have any claim against the Directors or any of them nor may any such exercise by the Board of its powers invalidate the proceedings of the meeting in respect of which they were exercised or any resolution passed or defeated at such meeting.</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authorised in writing, or if the appointor is a corporation, either under seal or under the hand of an officer or attorney duly authorised.</w:t>
      </w:r>
    </w:p>
    <w:p>
      <w:pPr>
        <w:spacing w:after="0" w:line="161" w:lineRule="exact"/>
        <w:rPr>
          <w:rFonts w:ascii="Times New Roman" w:cs="Times New Roman" w:eastAsia="Times New Roman" w:hAnsi="Times New Roman"/>
          <w:sz w:val="18"/>
          <w:szCs w:val="18"/>
          <w:color w:val="auto"/>
        </w:rPr>
      </w:pPr>
    </w:p>
    <w:p>
      <w:pPr>
        <w:ind w:left="1300" w:hanging="1292"/>
        <w:spacing w:after="0" w:line="253"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at its absolute discretion, provide an electronic address for the receipt of any document or information relating to proxies for a general meeting (including any instrument of proxy or invitation to appoint a proxy, any document necessary to show the validity of, or otherwise relating to, an appointment of proxy (whether or not required under these Articles) and notice of termination of the authority of a proxy). If such an electronic address is provided, the Company shall be deemed to have agreed that any such document or information (relating to proxies as aforesaid) may be sent by electronic means to that address, subject as hereafter provided and subject to any other limitations or conditions specified by the Company when providing the address.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referred to in this Article is sent to the Company by electronic means, such document or information is not treated as validly delivered to or deposited with the Company if the same is not received by the Company at its designated electronic address provided in accordance with this Article or if no electronic address is so designated by the Company for the receipt of such document or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both"/>
        <w:ind w:left="1300" w:hanging="644"/>
        <w:spacing w:after="0" w:line="254"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requested by the Board, the power of attorney or other authority (if any) under which it is signed or a notarially certified copy of that power or authority shall be deposited at such place or one of such places (if any) as is specified in the notice of meeting or in the instrument of proxy issued by the Company (or, if no place is specified, at the Registration Office) not less than 48 hours before the time for holding the meeting or adjourned meeting (as the case may be) at which the person named in such instrument proposes to vote, and in default the instrument of proxy shall not be treated as valid. No instrument appointing a proxy shall be valid after the expiration of 12 Months from the date of its execution, except at an adjourned meeting where the meeting was originally held within 12 Months from such date. Delivery of an instrument appointing a proxy shall not preclude a Shareholder from attending and voting in person (or in the case of a Shareholder being a corporation, its duly authorised representative) at the meeting concerned and, in such event, the instrument appointing a proxy shall be deemed to be revoked.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proxy, whether for a specified meeting or otherwise, shall be in such form as the Board may from time to time approve, provided that it shall not preclude the use of the two-way form. Any form issued to a Shareholder for use by him for appointing a proxy to attend and vote at an extraordinary general meeting or at an annual general meeting at which any business is to be transacted shall be such as to enable the Shareholder, according to his intentions, to instruct the proxy to vote in favour of or against (or, in default of instructions, to exercise his discretion in respect of) each resolution dealing with any such business.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to vote at a general meeting shall: (i) be deemed to confer authority upon the proxy to demand or join in demanding a poll and to vote on any resolution (or amendment thereto) put to the meeting for which it is given as the proxy thinks fit; and (ii) unless the contrary is stated therein, be valid as well for any adjournment of the meeting as for the meeting to which it relates.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or by the duly authorised representative of a corporation shall be valid notwithstanding the previous death or insanity of the principal or revocation of the proxy or power of attorney or other authority under which the proxy was executed or the transfer of the Share in respect of which the proxy is given, provided that no intimation in writing of such death, insanity, revocation or transfer as aforesaid shall have been received by the Company at its Registration Office, or at such other place as is referred to in Article 100(b), at least two hours before the commencement of the meeting or adjourned meeting at which the proxy is used.</w:t>
      </w:r>
    </w:p>
    <w:p>
      <w:pPr>
        <w:spacing w:after="0" w:line="183" w:lineRule="exact"/>
        <w:rPr>
          <w:rFonts w:ascii="Times New Roman" w:cs="Times New Roman" w:eastAsia="Times New Roman" w:hAnsi="Times New Roman"/>
          <w:sz w:val="18"/>
          <w:szCs w:val="18"/>
          <w:color w:val="auto"/>
        </w:rPr>
      </w:pPr>
    </w:p>
    <w:p>
      <w:pPr>
        <w:ind w:left="1300" w:hanging="1292"/>
        <w:spacing w:after="0" w:line="256" w:lineRule="auto"/>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(a)Any corporation which is a Shareholder may, by resolution of its directors or other governing body or by power of attorney, authorise such person as it thinks fit to act as its representative at any meeting of the Company or of any class of Shareholders of the Company, and the person so authorised shall be entitled to exercise the same rights and powers on behalf of the corporation which he represents as that corporation could exercise if it were an individual Shareholder of the Company. References in these Articles to a Shareholder present in person at a meeting shall, unless the context otherwise requires, include a corporation which is a Shareholder represented at the meeting by such duly authorised representative.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left="1300" w:hanging="644"/>
        <w:spacing w:after="0" w:line="255"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is a Clearing House (or its nominee(s)), it may (subject to Article 93) authorise such person or persons as it thinks fit to act as its representative or representatives at any meeting of the Company or at any meeting of any class of Shareholders, or at any meeting of the creditors of the Company provided that if more than one person is so authorised, the authorisation shall specify the number and class of Shares in respect of which each such representative is so authorised. A person so authorised pursuant to the provisions of this Article shall be deemed to have been duly authorised without further evidence of the facts and be entitled to exercise the same rights and powers on behalf of the Clearing House (or its nominee(s)) which he represents as that Clearing House (or its nominee(s)) could exercise as if such person were an individual Shareholder, including the right to speak and vote.</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agrees otherwise, an appointment of a corporate representative shall not be valid as against the Company unless: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an appointment by a Shareholder which is a Clearing House (or its nominee(s)), a written notification of the appointment issued by any director, the secretary or any authorised officer(s) of such Shareholder shall have been delivered at such place or one of such places (if any) as is specified in the notice of meeting or in the form of notice issued by the Company, or handed to the chairman of the meeting at the meeting or, if no place is specified, at the principal place of business maintained by the Company in the Relevant Territory from time to time before the time of holding the meeting or adjourned meeting at which the person so authorised proposes to vote or handed to the chairman of the meeting at the meeting;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an appointment by any other corporate Shareholder, a copy of the resolution of its directors or other governing body of the Shareholder authorising the appointment of the corporate representative or a form of notice of appointment of corporate representative issued by the Company for such purpose or a copy of the relevant power of attorney, together with an up-to-date copy of the Shareholder’s constitutive documents and a list of directors or members of the governing body of the Shareholder as at the date of such resolution, or, as the case may be, power of attorney, in each case certified by a director, secretary or a member of the governing body of that Shareholder and notarised, or, in the case of a form of notice of appointment issued by the Company as aforesaid, completed and signed in accordance with the instructions thereon or in the case of a power of attorney a notarised copy of the relevant authority under which it was signed, shall have been deposited at such place or one of such places (if any) as is specified in the notice of meeting or in the form of notice issued by the Company as aforesaid (or, if no place is specified, at the Registration Office) not less than 48 hours before the time for holding the meeting or adjourned meeting or poll (as the case may be) at which the corporate representative proposes to vote.</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corporate representative shall be valid unless it names the person authorised to act as the appointor’s representative and the appointor is also named. The Board may, unless it is satisfied that a person purporting to act as a corporate representative is the person named in the relevant instrument for his appointment, decline such person’s admission to the relevant meeting and/or reject his vote or demand for a poll and no Shareholder who may be affected by any exercise by the Board of its power in this connection shall have any claim against the Board or any of them nor may any such exercise by the Board of its powers invalidate the proceedings of the meeting in respect of which they were exercised or any resolution passed or defeated at such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place in the Cayman Islands as the Board shall from time to time decide.</w:t>
      </w:r>
    </w:p>
    <w:p>
      <w:pPr>
        <w:spacing w:after="0" w:line="221" w:lineRule="exact"/>
        <w:rPr>
          <w:rFonts w:ascii="Times New Roman" w:cs="Times New Roman" w:eastAsia="Times New Roman" w:hAnsi="Times New Roman"/>
          <w:sz w:val="18"/>
          <w:szCs w:val="18"/>
          <w:color w:val="auto"/>
        </w:rPr>
      </w:pPr>
    </w:p>
    <w:p>
      <w:pPr>
        <w:ind w:left="4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shall not be less than two (2). The Company shall keep at its Registered Office a register of its directors and officers in accordance with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at any time, by notice in writing signed by him delivered to the Registered Office or at the Head Office or at a meeting of the Board, appoint any person (including another Director) to act as alternate Director in his place during his absence and may in like manner at any time terminate such appointment. If such person is not another Director such appointment unless previously approved by the Board shall have effect only upon and subject to being so approved. The appointment of an alternate Director shall terminate on the happening of any event which, were he a Director, would cause him to vacate such office or if his appointor ceases to be a Director. An alternate Director may act as alternate to more than one Director.</w:t>
      </w:r>
    </w:p>
    <w:p>
      <w:pPr>
        <w:spacing w:after="0" w:line="187" w:lineRule="exact"/>
        <w:rPr>
          <w:rFonts w:ascii="Times New Roman" w:cs="Times New Roman" w:eastAsia="Times New Roman" w:hAnsi="Times New Roman"/>
          <w:sz w:val="18"/>
          <w:szCs w:val="18"/>
          <w:color w:val="auto"/>
        </w:rPr>
      </w:pPr>
    </w:p>
    <w:p>
      <w:pPr>
        <w:ind w:left="1300" w:hanging="1292"/>
        <w:spacing w:after="0" w:line="253" w:lineRule="auto"/>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 alternate Director shall (subject to his giving to the Company an address, telephone and facsimile number within the territory of the Head Office for the time being for the giving of notices on him and except when absent from the territory in which the Head Office is for the time being situate) be entitled (in addition to his appointor) to receive and (in lieu of his appointor) to waive notices of meetings of the Board and of any committee of the Board of which his appointor is a member and shall be entitled to attend and vote as a Director at any such meeting at which the Director appointing him is not personally present and generally at such meeting to perform all the functions of his appointor as a Director and for the purposes of the proceedings at such meeting the provisions of these Articles shall apply as if he (instead of his appointor) were a Director. If he shall be himself a Director or shall attend any such meeting as an alternate for more than one Director his voting rights shall be cumulative. If his appointor is for the time being absent from the territory in which the Head Office is for the time being situate or otherwise not available or unable to act, his signature to any resolution in writing of the Directors or any such committee shall be as effective as the signature of his appointor. His attestation of the affixing of the Seal shall be as effective as the signature and attestation of his appointor. An alternate Director shall not, save as aforesaid, have power to act as a Director nor shall he be deemed to be a Director for the purposes of these Articles.</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be entitled to contract and be interested in and benefit from contracts or arrangements or transactions and to be repaid expenses and to be indemnified to the same extent mutatis mutandis as if he were a Director, but he shall not be entitled to receive from the Company in respect of his appointment as alternate Director any remuneration except only such part (if any) of the ordinary remuneration otherwise payable to his appointor as such appointor may by notice in writing to the Company from time to time direct.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both"/>
        <w:ind w:left="1300" w:hanging="644"/>
        <w:spacing w:after="0" w:line="258"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by a Director (including for the purpose of this paragraph (c) an alternate Director) or the Secretary that a Director (who may be the one signing the certificate) was at the time of a resolution of the Directors or any committee thereof absent from the territory of the Head Office or otherwise not available or unable to act or has not supplied an address, telephone and facsimile number within the territory of the Head Office for the purposes of giving of notice to him shall in favour of all persons without express notice to the contrary, be conclusive of the matter so certified.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 alternate Director shall not be required to hold any qualification Shares but shall nevertheless be entitled to attend and speak at all general meetings of the Company and all meetings of any class of Shareholders of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receive by way of ordinary remuneration for their services as Directors such sum as shall from time to time be determined by the Company in general meeting or by the Board, such sum (unless otherwise directed by the resolution by which it is voted) to be divided amongst the Directors in such proportions and in such manner as they may agree, or failing agreement, equally, except that in such event any Director holding office for less than the whole of the relevant period in respect of which the ordinary remuneration is paid shall only rank in such division in proportion to the time during such period for which he has held office. Such remuneration shall be in addition to any other remuneration to which a Director who holds any salaried employment or office in the Company may be entitled by reason of such employment or office.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also be entitled to be repaid all travelling, hotel and other expenses reasonably incurred by them respectively in or about the performance of their duties as Directors, including their expenses of travelling to and from Board meetings, committee meetings or general meetings or otherwise incurred whilst engaged on the business of the Company or in the discharge of their duties as Directors.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shall perform or has performed any special or extra services at the request of the Company. Such special remuneration may be made payable to such Director in addition to or in substitution for his ordinary remuneration as a Director, and may be made payable by way of salary, commission or participation in profits or otherwise as may be arranged.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100, 101 and 102, the remuneration of a managing director, joint managing director, deputy managing director or an executive director or a Director appointed to any other office in the management of the Company may from time to time be fixed by the Board and may be by way of salary, commission, or participation in profits or otherwise or by all or any of those modes and with such other benefits (including pension and/or gratuity and/or other benefits on retirement) and allowances as the Board may from time to time decide. Such remuneration shall be in addition to his ordinary remuneration as a Director.</w:t>
      </w:r>
    </w:p>
    <w:p>
      <w:pPr>
        <w:spacing w:after="0" w:line="183"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(a)Payments to any Director or past director of the Company of any sum by way of compensation for loss of office or as consideration for or in connection with his retirement from office (not being a payment to which the director of the Company or past director is contractually or statutorily entitled) must be approved by the Company in general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if the Company were a company incorporated in Hong Kong, be permitted by the Companies Ordinance as in force at the date of adoption of these Articles, and except as permitted under the Companies Act, the Company shall not directly or indirectly: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to a Director or a director of any Holding Company of the Company or any of their respective Close Associates;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guarantee or provide any security in connection with a loan made by any person to a Director or a director of any Holding Company of the Company or any of their respective Close Associates;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or more of the Directors hold (jointly or severally or directly or indirectly) a controlling interest in another company, make a loan to that other company or enter into any guarantee or provide any security in connection with a loan made by any person to that other company.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116(a) and (b) shall only apply during the Relevant Period.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vacate his office: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or has a receiving order made against him or suspends payment or compounds with his creditors generally;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dies or becomes of unsound mind as determined pursuant to an order made by any competent court or official on the grounds that he is or may be suffering from mental disorder or is otherwise incapable of managing his affairs and the Board resolves that his office be vacated;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absents himself from the meetings of the Board during a continuous period of six months, without special leave of absence from the Board, and his alternate Director (if any) shall not during such period have attended in his stead, and the Board pass a resolution that he has by reason of such absence vacated his office;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prohibited by law from acting as a Director, or he ceases to be a Director by virtue of any provision of law or is removed from office pursuant to these Articles;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has been validly required by the stock exchange of the Relevant Territory to cease to be a Director and the relevant time period for application for review of or appeal against such requirement has lapsed and no application for review or appeal has been filed or is underway against such requirement;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notice in writing delivered to the Company at its Registered Office or at the Head Office or tendered at a meeting of the Board he resigns his office;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office by an Ordinary Resolution of the Company under Article 126;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the office by notice in writing served on him signed by not less than ¾ in number (or if that is not a round number, the nearest lower round number) of the Directors (including himself) then in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660" w:right="2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vacate office or be ineligible for re-election or re-appointment as a Director, and no person shall be ineligible for appointment as a Director by reason only of his having attained any particular age.</w:t>
      </w:r>
    </w:p>
    <w:p>
      <w:pPr>
        <w:spacing w:after="0" w:line="161" w:lineRule="exact"/>
        <w:rPr>
          <w:rFonts w:ascii="Times New Roman" w:cs="Times New Roman" w:eastAsia="Times New Roman" w:hAnsi="Times New Roman"/>
          <w:sz w:val="18"/>
          <w:szCs w:val="18"/>
          <w:color w:val="auto"/>
        </w:rPr>
      </w:pPr>
    </w:p>
    <w:p>
      <w:pPr>
        <w:ind w:left="1300" w:hanging="1292"/>
        <w:spacing w:after="0" w:line="254"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 Director or intended Director shall be disqualified by his office from contracting with the Company either as vendor, purchaser or otherwise nor shall 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realised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at which it is practicable for him to do so, either specifically or by way of a general notice stating that, by reason of the facts specified in the notice, he is to be regarded as interested in any contracts of a specified description which may subsequently be made by the Company.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continue to be or become a director, managing director, joint managing director, deputy managing director, executive director, manager or other officer or member of any other company in which the Company may be interested and (unless otherwise agreed between the Company and the Director) no such Director shall be liable to account to the Company or the Shareholders for any remuneration or other benefits received by him as a director, managing director, joint managing director, deputy managing director, executive director, manager or other officer or member of any such other company. The Directors may exercise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as directors, managing directors, joint managing directors, deputy managing director, executive directors, managers or other officers of such company) and any Director may vote in favour of the exercise of such voting rights in the manner aforesaid notwithstanding that he may be, or is about to be, appointed a director, managing director, joint managing director, deputy managing director, executive director, manager or other officer of such a company, and that as such he is or may become interested in the exercise of such voting rights in the manner aforesaid.</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with the Company (except that of Auditors) in conjunction with his office of Director for such period and upon such terms as the Board may determine, and may be paid such extra remuneration therefor (whether by way of salary, commission, participation in profit or otherwise) as the Board may determine, and such extra remuneration shall be in addition to any remuneration provided for by or pursuant to any other Articles.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vote (nor shall he be counted in the quorum) on any resolution of the Board in respect of any contract or arrangement or proposal in which he or any of his Close Associate(s) has/have a material interest, and if he shall do so his vote shall not be counted (nor shall he be counted in the quorum for that resolution), but this prohibition shall not apply to any of the following matters namely: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or indemnity either:</w:t>
      </w:r>
    </w:p>
    <w:p>
      <w:pPr>
        <w:spacing w:after="0" w:line="225"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3"/>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Director or his Close Associate(s) in respect of money lent or obligations incurred or undertaken by him or any of them at the request of or for the benefit of the Company or any of its subsidiaries;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left="1624" w:hanging="328"/>
        <w:spacing w:after="0" w:line="266" w:lineRule="auto"/>
        <w:tabs>
          <w:tab w:leader="none" w:pos="162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third party in respect of a debt or obligation of the Company or any of its subsidiaries for which the Director or his Close Associate(s) has himself/ themselves assumed responsibility in whole or in part and whether alone or jointly under a guarantee or indemnity or by the giving of security;</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concerning an offer of shares or debentures or other securities of or by the Company or any other company which the Company may promote or be interested in for subscription or purchase where the Director or his Close Associate(s) is/are or is/are to be interested as a participant in the underwriting or sub-underwriting of the offer;</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arrangement concerning the benefit of employees of the Company or its subsidiaries including:</w:t>
      </w:r>
    </w:p>
    <w:p>
      <w:pPr>
        <w:spacing w:after="0" w:line="225" w:lineRule="exact"/>
        <w:rPr>
          <w:rFonts w:ascii="Times New Roman" w:cs="Times New Roman" w:eastAsia="Times New Roman" w:hAnsi="Times New Roman"/>
          <w:sz w:val="18"/>
          <w:szCs w:val="18"/>
          <w:color w:val="auto"/>
        </w:rPr>
      </w:pPr>
    </w:p>
    <w:p>
      <w:pPr>
        <w:ind w:left="1624" w:hanging="328"/>
        <w:spacing w:after="0" w:line="282" w:lineRule="auto"/>
        <w:tabs>
          <w:tab w:leader="none" w:pos="16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modification or operation of any employees’ share scheme or any share incentive or share option scheme under which the Director or his Close Associate(s) may benefit; or</w:t>
      </w:r>
    </w:p>
    <w:p>
      <w:pPr>
        <w:spacing w:after="0" w:line="161" w:lineRule="exact"/>
        <w:rPr>
          <w:rFonts w:ascii="Times New Roman" w:cs="Times New Roman" w:eastAsia="Times New Roman" w:hAnsi="Times New Roman"/>
          <w:sz w:val="18"/>
          <w:szCs w:val="18"/>
          <w:color w:val="auto"/>
        </w:rPr>
      </w:pPr>
    </w:p>
    <w:p>
      <w:pPr>
        <w:jc w:val="both"/>
        <w:ind w:left="1624" w:hanging="328"/>
        <w:spacing w:after="0" w:line="261" w:lineRule="auto"/>
        <w:tabs>
          <w:tab w:leader="none" w:pos="16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modification or operation of a pension fund or retirement, death or disability benefits scheme which relates both to Directors, his Close Associates and employees of the Company or any of its subsidiaries and does not provide in respect of any Director or his Close Associate(s), as such any privilege or advantage not generally accorded to the class of persons to which such scheme or fund relates; and</w:t>
      </w:r>
    </w:p>
    <w:p>
      <w:pPr>
        <w:spacing w:after="0" w:line="179"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arrangement in which the Director or his Close Associate(s) is/ are interested in the same manner as other holders of shares or debentures or other securities of the Company by virtue only of his/their interest in shares or debentures or other securities of the Company.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proposals are under consideration concerning the appointment (including fixing or varying the terms of or terminating the appointment) of two or more Directors to offices or employments with the Company or any company in which the Company is interested, such proposals shall be divided and considered in relation to each Director separately and in such case each of the Directors concerned (if not prohibited from voting under paragraph (d)) shall be entitled to vote (and be counted in the quorum) in respect of each resolution except that concerning his own appointment.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shall arise at any meeting of the Board as to the materiality of the interest of a Director (other than the chairman of the meeting) or his Close Associates or as to the entitlement of any Director (other than the chairman of the meeting) to vote or be counted in the quorum and such question is not resolved by his voluntarily agreeing to abstain from voting or not to be counted in the quorum, such question shall be referred to the chairman of the meeting and his ruling in relation to such other Director shall be final and conclusive except in a case where the nature or extent of the interest of the Director or his Close Associates concerned as known to such Director has not been fairly disclosed to the Board. If any question as aforesaid shall arise in respect of the chairman of the meeting or his Close Associates such question shall be decided by a resolution of the Board (for which purpose such chairman shall not be counted in the quorum and shall not vote thereon) and such resolution shall be final and conclusive except in a case where the nature or extent of the interest of such chairman or his Close Associates as known to him has not been fairly disclosed to the Board.</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7" w:name="page48"/>
    <w:bookmarkEnd w:id="4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APPOINTMENT AND ROTATION OF DIRECTORS</w:t>
      </w:r>
    </w:p>
    <w:p>
      <w:pPr>
        <w:spacing w:after="0" w:line="229" w:lineRule="exact"/>
        <w:rPr>
          <w:sz w:val="20"/>
          <w:szCs w:val="20"/>
          <w:color w:val="auto"/>
        </w:rPr>
      </w:pPr>
    </w:p>
    <w:p>
      <w:pPr>
        <w:ind w:left="1292" w:hanging="1292"/>
        <w:spacing w:after="0" w:line="258"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(a)Notwithstanding any other provisions in these Articles, at each annual general meeting one-third of the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A retiring Director shall be eligible for re-election. The Company at the general meeting at which a Director retires may fill the vacated office.</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to retire by rotation shall include (so far as necessary to obtain the number required) any Director who wishes to retire and not to offer himself for re-election. Any Director who has not been subject to retirement by rotation in the three years preceding the annual general meeting shall retire by rotation at such annual general meeting. Any further Directors so to retire shall be those who have been longest in office since their last re-election or appointment and so that as between persons who became or were last re-elected Directors on the same day those to retire shall (unless they otherwise agree among themselves) be determined by lot.</w:t>
      </w:r>
    </w:p>
    <w:p>
      <w:pPr>
        <w:spacing w:after="0" w:line="18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is not required to retire upon reaching any particular age.</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general meeting at which an election of Directors ought to take place, the places of the retiring Directors are not filled, the retiring Directors or such of them as have not had their places filled shall be deemed to have been re-elected and shall, if willing, continue in office until the next annual general meeting and so on from year to year until their places are filled, unless:</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determined at such meeting to reduce the number of Directors;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resolved at such meeting not to fill such vacated offices;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such case the resolution for re-election of a Director is put to the meeting and lost;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has given notice in writing to the Company that he is not willing to be re-elected.</w:t>
      </w:r>
    </w:p>
    <w:p>
      <w:pPr>
        <w:spacing w:after="0" w:line="22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from time to time fix and may from time to time by Ordinary Resolution increase or reduce the maximum and minimum number of Directors but so that the number of Directors shall not be less than two (2).</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48" w:name="page49"/>
    <w:bookmarkEnd w:id="48"/>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in general meeting by Ordinary Resolution elect any person to be a Director either to fill a casual vacancy or as an additional Director. Any Director so appointed shall be subject to retirement by rotation pursuant to Article 120.</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power from time to time and at any time to appoint any person as a Director either to fill a casual vacancy or as an additional Director but so that the number of Directors so appointed shall not exceed the maximum number determined from time to time by the Shareholders in general meeting. Any Director appointed by the Board to fill a casual vacancy shall hold office only until the first annual general meeting of the Company after his appointment and be subject to re-election at such meeting. Any Director appointed by the Board as an addition to the existing Board shall hold office only until the next annual general meeting of the Company after his appointment and shall then be eligible for re-election. Any Director appointed under this Article shall not be taken into account in determining the Directors or the number of Directors who are to retire by rotation at an annual general meeting.</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shall have been lodged at the Head Office or at the Registration Office. The period for lodgement of the notices required under this Article will commence no earlier than the day after the despatch of the notice of the general meeting appointed for such election and end no later than seven days prior to the date of such general meeting and the minimum length of the period during which such notices to the Company may be given will be at least seven days.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may by Ordinary Resolution remove any Director (including a managing director or other executive director) before the expiration of his term of office notwithstanding anything in these Articles or in any agreement between the Company and such Director (but without prejudice to any claim which such Director may have for damages for any breach of any contract between him and the Company) and may by Ordinary Resolution elect another person in his stead. Any Director so appointed shall be subject to retirement by rotation pursuant to Article 120.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at its discretion exercise all the powers of the Company to raise or borrow or to secure the payment of any sum or sums of money for the purposes of the Company and to mortgage or charge its undertaking, property and uncalled capital or any part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raise or secure the payment or repayment of such sum or sums in such manner and upon such terms and conditions in all respects as it thinks fit and in particular but subject to the provisions of the Companies Act, by the issue of debentures, debenture stock, bonds or other securities of the Company, whether outright or as collateral security for any debt, liability or obligation of the Company or of any third party.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debenture stock, bonds and other securities (other than Shares which are not fully paid) may be made assignable free from any equities between the Company and the person to whom the same may be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debenture stock, bonds or other securities (other than Shares) may be issued at a discount, premium or otherwise and with any special privileges as to redemption, surrender, drawings, allotment or subscription of or conversion into Shares, attending and voting at general meetings of the Company, appointment of Directors and otherwise.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a proper register to be kept, in accordance with the provisions of the Companies Act, of all mortgages and charges specifically affecting the property of the Company and shall duly comply with such provisions of the Companies Act with regard to the registration of mortgages and charges as may be specified or required.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a series of debentures or debenture stock not transferable by delivery, the Board shall cause a proper register to be kept of the holders of such debentures.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uncalled capital of the Company is charged, all persons taking any subsequent charge thereon shall take the same subject to such prior charge, and shall not be entitled, by notice to the Shareholders or otherwise, to obtain priority over such prior charge.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MANAGING DIRECTORS, ETC.</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any one or more of them to the office of managing director, joint managing director, deputy managing director or other executive director and/ or such other office in the management of the business of the Company as it may decide for such period and upon such terms as it thinks fit and upon such terms as to remuneration as it may decide in accordance with Article 115.</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appointed to an office under Article 134 hereof shall, but without prejudice to any claim for damages for breach of any contract of service between himself and the Company, be liable to be dismissed or removed therefrom by the Board.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to an office under Article 134 shall be subject to the same provisions as to resignation and removal as the other Directors of the Company, and he shall ipso facto and immediately cease to hold such office if he shall cease to hold the office of Director for any cause.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entrust to and confer upon a chairman, vice chairman, managing director, joint managing director, deputy managing director or executive director all or any of the powers of the Board that it may think fit provided that the exercise of all powers by such Director shall be subject to such regulations and restrictions as the Board may from time to time make and impose, and, subject to the terms thereof, the said powers may at any time be withdrawn, revoked or varied, but no person dealing in good faith and without notice of such withdrawal, revocation or variation shall be affected thereby.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any person to an office or employment having a designation or title including the word “director” or attach to any existing office or employment with the Company such a designation or title. The inclusion of the word “director” in the designation or title of any office or employment with the Company (other than the office of managing director or joint managing director or deputy managing director or executive director) shall not imply that the holder thereof is a Director nor shall such holder be empowered in any respect to act as a Director or be deemed to be a Director for any of the purposes of these Articles.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both"/>
        <w:ind w:left="660" w:hanging="652"/>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Board who, in addition to the powers and authorities by these Articles expressly conferred upon it, may exercise all such powers and do all such acts and things as may be exercised or done or approved by the Company and are not hereby or by the Companies Act expressly directed or required to be exercised or done by the Company in general meeting, but subject nevertheless to the provisions of the Companies Act and of these Articles and to any regulations from time to time made by the Company in general meeting not being inconsistent with such provisions or these Articles, provided that no regulation so made shall invalidate any prior act of the Board which would have been valid if such regulation had not been made.</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and on such other terms as may be agreed;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 general manager, manager or managers of the business of the Company and may fix his or their remuneration either by way of salary or commission or by conferring the right to participation in the profits of the Company or by a combination of two or more of these modes and pay the working expenses of any of the staff of the general manager, manager or managers who may be employed by him or them upon the business of the Company.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such general manager, manager or managers may be for such period as the Board may decide and the Board may confer upon him or them all or any of the powers of the Board and such title or titles as it may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enter into such agreement or agreements with any such general manager, manager or managers upon such terms and conditions in all respects as it may in its absolute discretion think fit, including a power for such general manager, manager or managers to appoint an assistant manager or managers or other employees whatsoever under them for the purpose of carrying on the business of the Company.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CHAIRMAN AND OTHER OFFICERS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elect or otherwise appoint one of them to the office of chairman of the Company and another to be the vice chairman of the Company (or two or more vice Chairmen) and determine the period for which each of them is to hold office. The chairman of the company or, in his absence, the vice chairman of the Company shall preside as chairman at meetings of the Board, but if no such chairman or vice chairman be elected or appointed, or if at any meeting the chairman or vice chairman is not present within five minutes after the time appointed for holding the same and willing to act, the Directors present shall choose one of their number to be chairman of such meeting. All the provisions of Articles 115, 120, 149, 150 and 151 shall mutatis mutandis apply to any Directors elected or otherwise appointed to any office in accordance with the provisions of this Article.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OF THE DIRECTORS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together for the despatch of business, adjourn and otherwise regulate its meetings and proceedings as it thinks fit and may determine the quorum necessary for the transaction of business. Unless otherwise determined two Directors shall be a quorum. For the purpose of this Article an alternate Director shall be counted in a quorum separately in respect of himself (if a Director) and in respect of each Director for whom he is an alternate and his voting rights shall be cumulative and he need not use all his votes or cast all his votes in the same way. A meeting of the Board or any committee of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and on the request of a Director the Secretary shall, at any time summon a meeting of the Board which may be held in any part of the world, but no such meeting shall be summoned to be held outside the territory in which the Head Office is for the time being situate without the prior approval of the Board. Notice thereof shall be given to each Director and alternate Director in person orally or in writing or by telephone or by telex or telegram or facsimile transmission at the telephone or facsimile number or address from time to time notified to the Company by such Director or in such other manner as the Board may from time to time determine. A Director absent or intending to be absent from the territory in which the Head Office is for the time being situate may request the Board or the Secretary that notices of Board meetings shall during his absence be sent in writing to him at his last known address, facsimile or telex number or any other address, facsimile or telex number given by him to the Company for this purpose, but such notices need not be given any earlier than notices given to the other Directors not so absent and in the absence of any such request it shall not be necessary to give notice of a Board meeting to any Director who is for the time being absent from such territory.</w:t>
      </w:r>
    </w:p>
    <w:p>
      <w:pPr>
        <w:spacing w:after="0" w:line="19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119, questions arising at any meeting of the Board shall be decided by a majority of votes, and in case of an equality of votes the chairman of the meeting shall have a second or casting vote.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for the time being at which a quorum is present shall be competent to exercise all or any of the authorities, powers and discretions by or under these Articles for the time being vested in or exercisable by the Board generally.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to committees consisting of such member(s) of them and such other person(s) as it thinks fit, and it may from time to time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such committee in conformity with such regulations and in fulfilment of the purposes for which it is appointed, but not otherwise, shall have the like force and effect as if done by the Board, and the Board shall have power, with the consent of the Company in general meeting, to remunerate the members of any special committee, and charge such remuneration to the current expenses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such committee consisting of two or more members shall be governed by the provisions herein contained for regulating the meetings and proceedings of the Board so far as the same are applicable thereto and are not replaced by any regulations imposed by the Board pursuant to Article 149.</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any meeting of the Board or by any such committee or by any person acting as a Director shall, notwithstanding that it shall be afterwards discovered that there was some defect in the appointment of such Director or persons acting as aforesaid or that they or any of them were disqualified, be as valid as if every such person had been duly appointed and was qualified to be a Director or member of such committee.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the Board meeting, the continuing Director or Directors may act for the purpose of increasing the number of Directors to that number of the necessary quorum or of summoning a general meeting of the Company but for no other purpose.</w:t>
      </w:r>
    </w:p>
    <w:p>
      <w:pPr>
        <w:spacing w:after="0" w:line="179"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 resolution in writing signed by all the Directors (or their respective alternate Directors) shall be as valid and effectual as if it had been passed at a meeting of the Board duly convened and held. Any such resolutions in writing may consist of several documents in like form each signed by one or more of the Directors or alternate Directors.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is, on the date on which a resolution in writing is last signed by a Director, absent from the territory in which the Head Office is for the time being situated, or cannot be contacted at his last known address or contact telephone or facsimile number, or is temporarily unable to act through ill-health or disability and, in each case, his alternate (if any) is affected by any of these events, the signature of such Director (or his alternate) to the resolution shall not be required, and the resolution in writing, so long as such a resolution shall have been signed by at least two Directors or their respective alternates who are entitled to vote thereon or such number of Directors as shall form a quorum, shall be deemed to have been passed at a meeting of the Board duly convened and held, provided that a copy of such resolution has been given or the contents thereof communicated to all the Directors (or their respective alternates) for the time being entitled to receive notices of meetings of the Board at their respective last known address, telephone or facsimile number or, if none, at the Head Office and provided further that no Director is aware of or has received from any Director any objection to the resolution.</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Director (who may be one of the signatories to the relevant resolution in writing) or the Secretary as to any of the matters referred to in paragraph (a) or (b) of this Article shall in the absence of express notice to the contrary of the person relying thereon, be conclusive of the matters stated on such certificate.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MINUTES AND CORPORATE RECORDS</w:t>
      </w:r>
    </w:p>
    <w:p>
      <w:pPr>
        <w:spacing w:after="0" w:line="22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Board shall cause minutes to be made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Board and of committees appointed pursuant to Article 149;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Board and of such committees.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they purport to be signed by the chairman of the meeting at which the proceedings were held or by the chairman of the next succeeding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29" w:lineRule="exact"/>
        <w:rPr>
          <w:sz w:val="20"/>
          <w:szCs w:val="20"/>
          <w:color w:val="auto"/>
        </w:rPr>
      </w:pPr>
    </w:p>
    <w:p>
      <w:pPr>
        <w:jc w:val="both"/>
        <w:ind w:left="660" w:hanging="652"/>
        <w:spacing w:after="0" w:line="25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be appointed by the Board for such term, at such remuneration and upon such conditions as it may think fit, and any Secretary so appointed may, without prejudice to his right under any contract with the Company, be removed by the Board. Anything by the Companies Act or these Articles required or authorised to be done by or to the Secretary, if the office is vacant or there is for any other reason no Secretary capable of acting, may be done by or to any assistant or deputy Secretary, or if there is no assistant or deputy Secretary capable of acting, by or to any officer of the Company authorised generally or specifically on behalf of the Board.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Shareholders and shall keep correct minutes of such meetings and enter the same in the proper books provided for the purpose. He shall perform such other duties as are prescribed by the Companies Act and these Articles, together with such other duties as may from time to time be prescribed by the Board.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Companies Act or of these Articles requiring or authorising a thing to be done by or to a Director and the Secretary shall not be satisfied by its being done by or to the same person acting both as Director and as, or in place of the Secretary.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MANAGEMENT AND USE OF THE SEAL</w:t>
      </w:r>
    </w:p>
    <w:p>
      <w:pPr>
        <w:spacing w:after="0" w:line="229" w:lineRule="exact"/>
        <w:rPr>
          <w:sz w:val="20"/>
          <w:szCs w:val="20"/>
          <w:color w:val="auto"/>
        </w:rPr>
      </w:pPr>
    </w:p>
    <w:p>
      <w:pPr>
        <w:ind w:left="1300" w:hanging="1292"/>
        <w:spacing w:after="0" w:line="266" w:lineRule="auto"/>
        <w:tabs>
          <w:tab w:leader="none" w:pos="6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(a)Subject to the Companies Act, the Company shall have one or more Seals as the Board may determine, and may have a Seal for use outside the Cayman Islands. The Board shall provide for the safe custody of each Seal, and no Seal shall be used without the authority of the Board or a committee authorised by the Board in that behalf.</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to which a Seal shall be affixed shall be signed autographically by one Director and the Secretary, or by two Directors, or by any person or persons (including a Director and/or the Secretary) appointed by the Board for the purpose, provided that as regards any certificates for Shares or Debentures or other securities of the Company, the Board may by resolution determine that such signatures or either of them shall be dispensed with or affixed by some method or system of mechanical signature other than autographic or may be printed thereon as specified in such resolution or that such certificates need not be signed by any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left="1300" w:hanging="644"/>
        <w:spacing w:after="0" w:line="256" w:lineRule="auto"/>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a Securities Seal for use for sealing certificates for shares or other securities issued by the Company and no signature of any Director, officer or other person and no mechanical reproduction thereof shall be required on any such certificates or other document and any such certificates or other document to which such Securities Seal is affixed shall be valid and deemed to have been sealed and executed with the authority of the Board notwithstanding the absence of any such signature or mechanical reproduction as aforesaid. The Board may by resolution determine that the affixation of Securities Seal on certificates for shares or other securities issued by the Company be dispensed with or be affixed by printing the image of the Securities Seal on such certificates.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75" w:lineRule="exact"/>
        <w:rPr>
          <w:rFonts w:ascii="Times New Roman" w:cs="Times New Roman" w:eastAsia="Times New Roman" w:hAnsi="Times New Roman"/>
          <w:sz w:val="18"/>
          <w:szCs w:val="18"/>
          <w:color w:val="auto"/>
        </w:rPr>
      </w:pPr>
    </w:p>
    <w:p>
      <w:pPr>
        <w:ind w:left="1300" w:hanging="1292"/>
        <w:spacing w:after="0" w:line="256" w:lineRule="auto"/>
        <w:tabs>
          <w:tab w:leader="none" w:pos="6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Board may from time to time and at any time, by power of attorney under the Seal,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writing under its Seal, empower any person, either generally or in respect of any specified matter, as its attorney to execute deeds and instruments on its behalf and to enter into contracts and sign the same on its behalf and every deed signed by such attorney on behalf of the Company and under his seal shall bind the Company and have the same effect as if it were under the Seal duly affixed by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committees, regional or local boards or agencies for managing any of the affairs of the Company, either in the Relevant Territory or elsewhere, and may appoint any persons to be members of such committees, regional or local boards or agencies and may fix their remuneration, and may delegate to any committee, regional or local board or agent any of the powers, authorities and discretions vested in the Board (other than its powers to make calls and forfeit Shares), with power to sub-delegate, and may authorise the members of any regional or local board or any of them to fill any vacancies therein and to act notwithstanding vacancies, and any such appointment or delegation may be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and maintain or procure the establishment and maintenance of any contributory or non-contributory pension or superannuation funds or personal pension plans for the benefit of, or give or procure the giving of donations, gratuities, pensions, allowances or emoluments to, any persons who are or were at any time in the employment or service of the Company, or of any company which is a subsidiary of the Company, or is allied or associated with the Company or with any such subsidiary company, or who are or were at any time directors or officers of the Company or of any such other company as aforesaid, and holding or who have held any salaried employment or office in the Company or such other company, and the spouses, widows, widowers, families and dependants of any such persons. The Board may also establish and subsidise or subscribe to any institutions, associations, clubs or funds calculated to be for the benefit of or to advance the interests and well-being of the Company or of any such other company as aforesaid or of any such persons as aforesaid, and may make payments for or towards the insurance of any such persons as aforesaid, and subscribe or guarantee money for charitable or benevolent objects or for any exhibition or for any public, general or useful object. The Board may do any of the matters aforesaid, either alone or in conjunction with any such other company as aforesaid. Any Director holding any such employment or office shall be entitled to participate in and retain for his own benefit any such donation, gratuity, pension, allowance or employment.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AUTHENTICATION OF DOCUMENTS</w:t>
      </w:r>
    </w:p>
    <w:p>
      <w:pPr>
        <w:spacing w:after="0" w:line="229" w:lineRule="exact"/>
        <w:rPr>
          <w:sz w:val="20"/>
          <w:szCs w:val="20"/>
          <w:color w:val="auto"/>
        </w:rPr>
      </w:pPr>
    </w:p>
    <w:p>
      <w:pPr>
        <w:ind w:left="1300" w:hanging="1292"/>
        <w:spacing w:after="0" w:line="256" w:lineRule="auto"/>
        <w:tabs>
          <w:tab w:leader="none" w:pos="6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(a)Any Director or the Secretary or other authorised officer of the Company shall have power to authenticate any documents affecting the constitution of the Company and any resolutions passed by the Company or the Board or any committee, and any books, records, documents and accounts relating to the business of the Company, and to certify copies thereof or extracts therefrom as true copies of extracts; and where any books, records, documents or accounts are elsewhere than at the Registered Office or the Head Office, the local manager or such other officer of the Company having the custody thereof shall be deemed to be the authorised officer of the Company as aforesaid.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purporting to be a document so authenticated or a copy of a resolution, or an extract from the minutes of a meeting, of the Company or of the Board or any local board or committee, or of any books, records, documents or accounts or extracts therefrom as aforesaid, and which is certified as aforesaid, shall be conclusive evidence in favour of all persons dealing with the Company upon the faith thereof that the document authenticated (or, if this be authenticated as aforesaid, the matter so authenticated) is authentic or, as the case may be, that such resolution has been duly passed or, as the case may be, that any minute so extracted is a true and accurate record of proceedings at a duly constituted meeting or, as the case may be, that the copies of such books, records, documents or accounts were true copies of their originals or as the case may be, the extracts of such books, records, documents or accounts are true and accurate records of the books, records, documents or accounts from which they were extracted.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1300" w:hanging="1292"/>
        <w:spacing w:after="0" w:line="255" w:lineRule="auto"/>
        <w:tabs>
          <w:tab w:leader="none" w:pos="6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in general meeting may, upon the recommendation of the Board, resolve to capitalise any sum standing to the credit of any of the Company’s reserve accounts which are available for distribution (including its share premium account and capital redemption reserve fund, subject to the Companies Act) and to appropriate such sums to the holders of Shares on the Register at the close of business on the date of the relevant resolution (or such other date as may be specified therein or determined as provided therein)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left="1300" w:hanging="644"/>
        <w:spacing w:after="0" w:line="25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whenever such a resolution as aforesaid shall have been passed, the Board shall make all appropriations and applications of the reserves or profits and undivided profits resolved to be capitalised thereby, and attend to all allotments and issues of fully paid Shares, debentures, or other securities and generally shall do all acts and things required to give effect thereto. For the purpose of giving effect to any resolution under this Article, the Board may settle any difficulty which may arise in regard to a capitalisation issue as it thinks fit, and in particular may disregard fractional entitlements or round the same up or down and may determine that cash payments shall be made to any Shareholders in lieu of fractional entitlements or that fractions of such value as the Board may determine may be disregarded in order to adjust the rights of all parties or that fractional entitlements shall be aggregated and sold and the benefit shall accrue to the Company rather than to the Shareholders concerned, and no Shareholders who are affected thereby shall be deemed to be, and they shall be deemed not to be, a separate class of Shareholders by reason only of the exercise of this power. The Board may authorise any person to enter on behalf of all Shareholders interested in a capitalisation issue any agreement with the Company or other(s) providing for such capitalisation and matters in connection therewith and any agreement made under such authority shall be effective and binding upon all concerned. Without limiting the generality of the foregoing, any such agreement may provide for the acceptance by such persons of the Shares, debentures or other securities to be allotted and distributed to them respectively in satisfaction of their claims in respect of the sum so capitalised.</w:t>
      </w:r>
    </w:p>
    <w:p>
      <w:pPr>
        <w:spacing w:after="0" w:line="19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(e) of Article 172 shall apply to the power of the Company to capitalise under this Article as it applies to the grant of election thereunder mutatis mutandis and no Shareholder who may be affected thereby shall be, and they shall be deemed not to be, a separate class of Shareholders by reason only of the exercise of this power.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 AND RESERVES</w:t>
      </w:r>
    </w:p>
    <w:p>
      <w:pPr>
        <w:spacing w:after="0" w:line="229" w:lineRule="exact"/>
        <w:rPr>
          <w:sz w:val="20"/>
          <w:szCs w:val="20"/>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in general meeting may declare Dividends in any currency but no Dividends shall exceed the amount recommended by the Board.</w:t>
      </w:r>
    </w:p>
    <w:p>
      <w:pPr>
        <w:spacing w:after="0" w:line="161" w:lineRule="exact"/>
        <w:rPr>
          <w:rFonts w:ascii="Times New Roman" w:cs="Times New Roman" w:eastAsia="Times New Roman" w:hAnsi="Times New Roman"/>
          <w:sz w:val="18"/>
          <w:szCs w:val="18"/>
          <w:color w:val="auto"/>
        </w:rPr>
      </w:pPr>
    </w:p>
    <w:p>
      <w:pPr>
        <w:ind w:left="1300" w:hanging="1292"/>
        <w:spacing w:after="0" w:line="255" w:lineRule="auto"/>
        <w:tabs>
          <w:tab w:leader="none" w:pos="6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Board may subject to Article 168 from time to time pay to the Shareholders such interim Dividends as appear to the Board to be justified by the financial conditions and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to the holders thereof deferred or non-preferential rights as well as in respect of those Shares which confer on the holders thereof preferential rights with regard to Dividend and provided that the Board acts bona fide it shall not incur any responsibility to the holders of Shares conferring any preference for any damage that they may suffer by reason of the payment of an interim Dividend on any Shares having deferred or non-preferential rights.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pay half-yearly or at other suitable intervals to be settled by it any Dividend which may be payable at a fixed rate if the Board is of the opinion that the financial conditions and the profits of the Company justify the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left="1300" w:hanging="644"/>
        <w:spacing w:after="0" w:line="261"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addition from time to time declare and pay special Dividends of such amounts and on such dates and out of such distributable funds of the Company as it thinks fit, and the provisions of paragraph (a) of this Article as regards the power and exemption from liability of the Board as relate to the declaration and payment of interim Dividends shall apply, mutatis mutandis, to the declaration and payment of any such special Dividends.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No Dividend shall be declared or paid or shall be made otherwise than in accordance with the Companies Act.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but without prejudice to paragraph (a) of this Article, where any asset, business or property is bought by the Company as from a past date (whether such date be before or after the incorporation of the Company) the profits and losses thereof as from such date may at the discretion of the Board in whole or in part be carried to revenue account and treated for all purposes as profits or losses of the Company, and be available for Dividend accordingly. Subject as aforesaid, if any Shares or securities are purchased cum Dividend or interest, such Dividend or interest may at the discretion of the Board be treated as revenue, and it shall not be obligatory to capitalise the same or any part thereof or to apply the same towards reduction of or writing down the book cost of the asset, business or property acquired.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of this Article all Dividends and other distributions in respect of Shares shall be stated and discharged, in the case of Shares denominated in Hong Kong dollars, in Hong Kong dollars, and in the case of Shares denominated in any other currency, in such other currency, provided that, in the case of Shares denominated in Hong Kong dollars, the Board may determine in the case of any distribution that Shareholders may elect to receive the same in any other currency selected by the Board, converted at such rate of exchange as the Board may determine.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opinion of the Board, any Dividend or other distribution in respect of Shares or any other payment to be made by the Company to any Shareholder is of such a small amount as to make payment to that Shareholder in the relevant currency impracticable or unduly expensive either for the Company or the Shareholder then such Dividend or other distribution or other payment may, at the absolute discretion of the Board, be, if this be practicable, converted at such rate of exchange as the Board may determine and paid or made in the currency of the country of the relevant Shareholder (as indicated by the address of such Shareholder on the Register).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declaration of an interim Dividend shall be given in such manner as the Board shall determine.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moneys payable on or in respect of a Share shall bear interest as against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left="660" w:hanging="652"/>
        <w:spacing w:after="0" w:line="25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or the Company in general meeting has resolved that a Dividend be paid or declared, the Board may further resolve that such Dividend be satisfied wholly or in part by the distribution of specific assets of any kind and in particular of paid up shares, debentures or warrants to subscribe securities of any other company, or in any one or more of such ways, with or without offering any rights to Shareholders to elect to receive such Dividend in cash, and where any difficulty arises in regard to the distribution the Board may settle the same as it thinks expedient, and in particular may disregard fractional entitlements or round the same up or down, and may fix the value for distribution of such specific assets, or any part thereof, and may determine that cash payments shall be made to any Shareholders upon the footing of the value so fixed in order to adjust the rights of all parties and may determine that fractional entitlements shall be aggregated and sold and the benefit shall accrue to the Company rather than to the Shareholders concerned, and may vest any such specific assets in trustees as may seem expedient to the Board and may authorise any person to sign any requisite instruments of transfer and other documents on behalf of all Shareholders interested in the Dividend and such instrument and document shall be effective. The Board may further authorise any person to enter into on behalf of all Shareholders having an interest in any agreement with the Company or other(s) providing for such Dividend and matters in connection therewith and any such agreement made under such authority shall be effective. The Board may resolve that no such assets shall be made available or made to Shareholders with registered addresses in any particular territory or territories being a territory or territories where, in the absence of a registration statement or other special formalities, this would or might, in the opinion of the Board, be unlawful or impracticable or the legality or practicality of which may be time consuming or expensive to ascertain whether in absolute terms or in relation to the value of the holding of Shares of the Shareholder concerned and in any such event the only entitlement of the Shareholders aforesaid shall be to receive cash payments as aforesaid. Shareholders affected as a result of exercise by the Board of its discretion under this Article shall not be, and shall be deemed not to be, a separate class of Shareholders for any purposes whatsoever.</w:t>
      </w:r>
    </w:p>
    <w:p>
      <w:pPr>
        <w:spacing w:after="0" w:line="191"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(a)Whenever the Board or the Company in general meeting has resolved that a Dividend be paid or declared on the share capital of the Company, the Board may further resolve, either: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Dividend be satisfied wholly or in part in the form of an allotment of Shares credited as fully paid on the basis that the Shares so allotted shall be of the same class or classes as the class or classes already held by the allottee, provided that the Shareholders entitled thereto will be entitled to elect to receive such Dividend (or part thereof) in cash in lieu of such allotment. In such case, the following provisions shall apply:</w:t>
      </w:r>
    </w:p>
    <w:p>
      <w:pPr>
        <w:spacing w:after="0" w:line="17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225" w:lineRule="exact"/>
        <w:rPr>
          <w:rFonts w:ascii="Times New Roman" w:cs="Times New Roman" w:eastAsia="Times New Roman" w:hAnsi="Times New Roman"/>
          <w:sz w:val="18"/>
          <w:szCs w:val="18"/>
          <w:color w:val="auto"/>
        </w:rPr>
      </w:pPr>
    </w:p>
    <w:p>
      <w:pPr>
        <w:jc w:val="both"/>
        <w:ind w:left="2280" w:hanging="328"/>
        <w:spacing w:after="0" w:line="261" w:lineRule="auto"/>
        <w:tabs>
          <w:tab w:leader="none" w:pos="228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14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auto"/>
        </w:rPr>
      </w:pPr>
    </w:p>
    <w:p>
      <w:pPr>
        <w:ind w:left="2280" w:right="20" w:hanging="328"/>
        <w:spacing w:after="0" w:line="282" w:lineRule="auto"/>
        <w:tabs>
          <w:tab w:leader="none" w:pos="228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left="1640" w:hanging="328"/>
        <w:spacing w:after="0" w:line="254" w:lineRule="auto"/>
        <w:tabs>
          <w:tab w:leader="none" w:pos="1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that part of the Dividend to be satisfied by the allotment of Shares as aforesaid) shall not be payable in cash in respect whereof the cash election has not been duly exercised (“</w:t>
      </w:r>
      <w:r>
        <w:rPr>
          <w:rFonts w:ascii="Times New Roman" w:cs="Times New Roman" w:eastAsia="Times New Roman" w:hAnsi="Times New Roman"/>
          <w:sz w:val="18"/>
          <w:szCs w:val="18"/>
          <w:b w:val="1"/>
          <w:bCs w:val="1"/>
          <w:color w:val="auto"/>
        </w:rPr>
        <w:t>the non-elected Shares</w:t>
      </w:r>
      <w:r>
        <w:rPr>
          <w:rFonts w:ascii="Times New Roman" w:cs="Times New Roman" w:eastAsia="Times New Roman" w:hAnsi="Times New Roman"/>
          <w:sz w:val="18"/>
          <w:szCs w:val="18"/>
          <w:color w:val="auto"/>
        </w:rPr>
        <w:t>”) and in lieu and in satisfaction thereof Shares shall be allotted credited as fully paid to the holders of the non-elected Shares on the basis of allotment determined as aforesaid and for such purpose the Board shall capitalise and apply out of any part of the undivided profits of the Company or any part of any of the Company’s reserve accounts (including any special account, or share premium account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non-elected Shares on such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left="1320" w:hanging="656"/>
        <w:spacing w:after="0" w:line="266" w:lineRule="auto"/>
        <w:tabs>
          <w:tab w:leader="none" w:pos="13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Shareholders entitled to such Dividend will be entitled to elect to receive an allotment of Shares credited as fully paid in lieu of the whole or such part of the Dividend as the Board may think fit on the basis that the Shares so allotted shall be of the same class or classes as the class or classes of Shares already held by the allottee. In such case, the following provisions shall apply:</w:t>
      </w:r>
    </w:p>
    <w:p>
      <w:pPr>
        <w:spacing w:after="0" w:line="175" w:lineRule="exact"/>
        <w:rPr>
          <w:rFonts w:ascii="Times New Roman" w:cs="Times New Roman" w:eastAsia="Times New Roman" w:hAnsi="Times New Roman"/>
          <w:sz w:val="18"/>
          <w:szCs w:val="18"/>
          <w:color w:val="auto"/>
        </w:rPr>
      </w:pPr>
    </w:p>
    <w:p>
      <w:pPr>
        <w:ind w:left="1640" w:hanging="328"/>
        <w:spacing w:after="0"/>
        <w:tabs>
          <w:tab w:leader="none" w:pos="1640"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225" w:lineRule="exact"/>
        <w:rPr>
          <w:rFonts w:ascii="Times New Roman" w:cs="Times New Roman" w:eastAsia="Times New Roman" w:hAnsi="Times New Roman"/>
          <w:sz w:val="18"/>
          <w:szCs w:val="18"/>
          <w:color w:val="auto"/>
        </w:rPr>
      </w:pPr>
    </w:p>
    <w:p>
      <w:pPr>
        <w:jc w:val="both"/>
        <w:ind w:left="1640" w:hanging="328"/>
        <w:spacing w:after="0" w:line="261" w:lineRule="auto"/>
        <w:tabs>
          <w:tab w:leader="none" w:pos="1640"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14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auto"/>
        </w:rPr>
      </w:pPr>
    </w:p>
    <w:p>
      <w:pPr>
        <w:ind w:left="1640" w:right="20" w:hanging="328"/>
        <w:spacing w:after="0" w:line="282" w:lineRule="auto"/>
        <w:tabs>
          <w:tab w:leader="none" w:pos="1640"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61" w:lineRule="exact"/>
        <w:rPr>
          <w:rFonts w:ascii="Times New Roman" w:cs="Times New Roman" w:eastAsia="Times New Roman" w:hAnsi="Times New Roman"/>
          <w:sz w:val="18"/>
          <w:szCs w:val="18"/>
          <w:color w:val="auto"/>
        </w:rPr>
      </w:pPr>
    </w:p>
    <w:p>
      <w:pPr>
        <w:jc w:val="both"/>
        <w:ind w:left="1640" w:hanging="328"/>
        <w:spacing w:after="0" w:line="254" w:lineRule="auto"/>
        <w:tabs>
          <w:tab w:leader="none" w:pos="1640"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accorded) shall not be payable on Shares in respect whereof the Share election has been duly exercised (“</w:t>
      </w:r>
      <w:r>
        <w:rPr>
          <w:rFonts w:ascii="Times New Roman" w:cs="Times New Roman" w:eastAsia="Times New Roman" w:hAnsi="Times New Roman"/>
          <w:sz w:val="18"/>
          <w:szCs w:val="18"/>
          <w:b w:val="1"/>
          <w:bCs w:val="1"/>
          <w:color w:val="auto"/>
        </w:rPr>
        <w:t>the elected Shares</w:t>
      </w:r>
      <w:r>
        <w:rPr>
          <w:rFonts w:ascii="Times New Roman" w:cs="Times New Roman" w:eastAsia="Times New Roman" w:hAnsi="Times New Roman"/>
          <w:sz w:val="18"/>
          <w:szCs w:val="18"/>
          <w:color w:val="auto"/>
        </w:rPr>
        <w:t>”) and in lieu thereof Shares shall be allotted credited as fully paid to the holders of the elected Shares on the basis of allotment determined as aforesaid and for such purpose the Board shall capitalise and apply out of any part of the undivided profits of the Company or any part of any of the Company’s reserve accounts (including any special account, contributed surplus account, share premium account and capital redemption reserve fund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elected Shares on such basis.</w:t>
      </w:r>
    </w:p>
    <w:p>
      <w:pPr>
        <w:spacing w:after="0" w:line="191" w:lineRule="exact"/>
        <w:rPr>
          <w:rFonts w:ascii="Times New Roman" w:cs="Times New Roman" w:eastAsia="Times New Roman" w:hAnsi="Times New Roman"/>
          <w:sz w:val="18"/>
          <w:szCs w:val="18"/>
          <w:color w:val="auto"/>
        </w:rPr>
      </w:pPr>
    </w:p>
    <w:p>
      <w:pPr>
        <w:ind w:left="500" w:hanging="498"/>
        <w:spacing w:after="0" w:line="282" w:lineRule="auto"/>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allotted pursuant to the provisions of paragraph (a) of this Article shall rank pari passu in all respects with the Shares then in issue and held by the allottee in respect of which they were allotted, save only as regards participation:</w:t>
      </w:r>
    </w:p>
    <w:p>
      <w:pPr>
        <w:spacing w:after="0" w:line="161" w:lineRule="exact"/>
        <w:rPr>
          <w:rFonts w:ascii="Times New Roman" w:cs="Times New Roman" w:eastAsia="Times New Roman" w:hAnsi="Times New Roman"/>
          <w:sz w:val="18"/>
          <w:szCs w:val="18"/>
          <w:color w:val="auto"/>
        </w:rPr>
      </w:pPr>
    </w:p>
    <w:p>
      <w:pPr>
        <w:ind w:left="1480" w:hanging="492"/>
        <w:spacing w:after="0"/>
        <w:tabs>
          <w:tab w:leader="none" w:pos="148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relevant Dividend (or the right to receive or to elect to receive an allotment of Shares in lieu thereof as aforesaid); or</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337" w:right="339" w:bottom="1440" w:gutter="0" w:footer="0" w:header="0"/>
        </w:sectPr>
      </w:pPr>
    </w:p>
    <w:bookmarkStart w:id="60" w:name="page61"/>
    <w:bookmarkEnd w:id="60"/>
    <w:p>
      <w:pPr>
        <w:jc w:val="both"/>
        <w:ind w:left="2120" w:hanging="492"/>
        <w:spacing w:after="0" w:line="256" w:lineRule="auto"/>
        <w:tabs>
          <w:tab w:leader="none" w:pos="21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distributions, bonuses or rights paid, made, declared or announced prior to or contemporaneously with the payment or declaration of the relevant Dividend unless, contemporaneously with the announcement by the Board of its proposal to apply the provisions of sub-paragraph (a)(i) or (a)(ii) of paragraph (a) of this Article in relation to the relevant Dividend or contemporaneously with its announcement of the distribution, bonus or rights in question, the Board shall have specified that the Shares to be allotted pursuant to the provisions of paragraph (a) of this Article shall rank for participation in such distribution, bonus or rights.</w:t>
      </w:r>
    </w:p>
    <w:p>
      <w:pPr>
        <w:spacing w:after="0" w:line="187" w:lineRule="exact"/>
        <w:rPr>
          <w:rFonts w:ascii="Times New Roman" w:cs="Times New Roman" w:eastAsia="Times New Roman" w:hAnsi="Times New Roman"/>
          <w:sz w:val="18"/>
          <w:szCs w:val="18"/>
          <w:color w:val="auto"/>
        </w:rPr>
      </w:pPr>
    </w:p>
    <w:p>
      <w:pPr>
        <w:jc w:val="both"/>
        <w:ind w:left="1140" w:hanging="498"/>
        <w:spacing w:after="0" w:line="254"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considered necessary or expedient to give effect to any capitalisation pursuant to the provisions of paragraph (a)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Shareholders concerned), and no Shareholders who will be affected thereby shall be, and they shall be deemed not to be, a separate class of Shareholders by reason only of the exercise of this power. The Board may authorise any person to enter into on behalf of all Shareholders interested, an agreement with the Company providing for such capitalisation and matters incidental thereto and any agreement made pursuant to such authority shall be effective and binding on all concerned.</w:t>
      </w:r>
    </w:p>
    <w:p>
      <w:pPr>
        <w:spacing w:after="0" w:line="191" w:lineRule="exact"/>
        <w:rPr>
          <w:rFonts w:ascii="Times New Roman" w:cs="Times New Roman" w:eastAsia="Times New Roman" w:hAnsi="Times New Roman"/>
          <w:sz w:val="18"/>
          <w:szCs w:val="18"/>
          <w:color w:val="auto"/>
        </w:rPr>
      </w:pPr>
    </w:p>
    <w:p>
      <w:pPr>
        <w:jc w:val="both"/>
        <w:ind w:left="1140" w:hanging="498"/>
        <w:spacing w:after="0" w:line="266"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Board by Ordinary Resolution resolve in respect of any one particular Dividend that notwithstanding the provisions of paragraph (a) of this Article a Dividend may be satisfied wholly in the form of an allotment of Shares credited as fully paid without offering any right to Shareholders to elect to receive such Dividend in cash in lieu of such allotment.</w:t>
      </w:r>
    </w:p>
    <w:p>
      <w:pPr>
        <w:spacing w:after="0" w:line="175" w:lineRule="exact"/>
        <w:rPr>
          <w:rFonts w:ascii="Times New Roman" w:cs="Times New Roman" w:eastAsia="Times New Roman" w:hAnsi="Times New Roman"/>
          <w:sz w:val="18"/>
          <w:szCs w:val="18"/>
          <w:color w:val="auto"/>
        </w:rPr>
      </w:pPr>
    </w:p>
    <w:p>
      <w:pPr>
        <w:jc w:val="both"/>
        <w:ind w:left="1140" w:hanging="498"/>
        <w:spacing w:after="0" w:line="255"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any occasion determine that rights of election and the allotment of Shares under paragraph (a)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be unlawful or impracticable or the legality or practicability of which may be time consuming or expensive to ascertain whether in absolute terms or in relation to the value of the holding of Shares of the Shareholder concerned, and in such event the provisions aforesaid shall be read and construed subject to such determination and no Shareholder who may be affected by any such determination shall be, and they shall be deemed not to be, a separate class of Shareholders for any purposes whatsoever.</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recommending any Dividend, set aside out of the profits of the Company such sums as it thinks fit as a reserve or reserves which shall, at the discretion of the Board, be applicable for meeting claims on or liabilities of the Company or contingencies or for paying off any loan capital or for equalising Dividends or for any other purpose to which the profits of the Company may be properly applied, and pending such application may, at the like discretion, either be employed in the business of the Company or be invested in such investments (including in the repurchase by the Company of its own securities or the giving of any financial assistance for the acquisition of its own securities)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 by way of Dividend.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left="660" w:hanging="652"/>
        <w:spacing w:after="0" w:line="261"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that the rights attached to any Shares or the terms of issue thereof otherwise provide, all Dividends shall (as regards any Shares not fully paid throughout the period in respect of which the Dividend is paid) be apportioned and paid pro rata according to the amounts paid or credited as paid on the Shares during any portion or portions of the period in respect of which the Dividend is paid. For the purposes of this Article no amount paid on a Share in advance of calls pursuant to Article 38 shall be treated as paid on the Share.</w:t>
      </w:r>
    </w:p>
    <w:p>
      <w:pPr>
        <w:spacing w:after="0" w:line="179" w:lineRule="exact"/>
        <w:rPr>
          <w:rFonts w:ascii="Times New Roman" w:cs="Times New Roman" w:eastAsia="Times New Roman" w:hAnsi="Times New Roman"/>
          <w:sz w:val="18"/>
          <w:szCs w:val="18"/>
          <w:color w:val="auto"/>
        </w:rPr>
      </w:pPr>
    </w:p>
    <w:p>
      <w:pPr>
        <w:ind w:left="1140" w:hanging="1132"/>
        <w:spacing w:after="0" w:line="282"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retain any Dividends or other moneys payable on or in respect of a Share upon which the Company has a lien, and may apply the same in or towards satisfaction of the debts, liabilities or engagements in respect of which the lien exists.</w:t>
      </w:r>
    </w:p>
    <w:p>
      <w:pPr>
        <w:spacing w:after="0" w:line="161" w:lineRule="exact"/>
        <w:rPr>
          <w:rFonts w:ascii="Times New Roman" w:cs="Times New Roman" w:eastAsia="Times New Roman" w:hAnsi="Times New Roman"/>
          <w:sz w:val="18"/>
          <w:szCs w:val="18"/>
          <w:color w:val="auto"/>
        </w:rPr>
      </w:pPr>
    </w:p>
    <w:p>
      <w:pPr>
        <w:ind w:left="1140" w:right="20" w:hanging="498"/>
        <w:spacing w:after="0" w:line="282"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 payable to any Shareholder all sums of money (if any) presently payable by him to the Company on account of calls, instalments or otherwise.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meeting sanctioning a Dividend may make a call on the Shareholders of such amount as the meeting fixes, but so that the call on each Shareholder shall not exceed the Dividend payable to him, and so that the call shall be made payable at the same time as the Dividend, and the Dividend may, if so arranged between the Company and the Shareholder, be set off against the call.</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shall not, as against the Company but without prejudice to the rights of the transferor and transferee inter se, pass the right to any Dividend or bonus declared thereon before the registration of the transfer.</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registered as joint holders of any Share, any one of such persons may give effectual receipts for any Dividends and other moneys payable and bonuses, rights and other distributions in respect of such Shares.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Board, any Dividend or other moneys payable or bonuses, rights or other distributions in respect of any Share may be paid or satisfied by cheque or warrant or certificate or other documents or evidence of title sent through the post to the registered address of the Shareholder entitled, or, in the case of joint holders, to the registered address of that one whose name stands first in the Register in respect of the joint holding or to such person and to such address as the holder or joint holders may in writing direct. Every cheque, warrant, certificate or other document or evidence of title so sent shall be made payable to the order of the person to whom it is sent or, in the case of certificates or other documents or evidence of title as aforesaid, in favour of the Shareholder(s) entitled thereto, and the payment on any such cheque or warrant by the banker upon whom it is drawn shall operate as a good discharge to the Company in respect of the Dividend and/or other moneys represented thereby, notwithstanding that it may subsequently appear that the same has been stolen or that any endorsement thereon has been forged. Every such cheque, warrant, certificate or other document or evidence of title as aforesaid shall be sent at the risk of the person entitled to the Dividend, money, bonus, rights and other distributions represented thereby.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left="660" w:hanging="652"/>
        <w:spacing w:after="0" w:line="255"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bonuses or other distributions or the proceeds of the realisation of any of the foregoing unclaimed for one year after having been declared by the Company until claimed and, notwithstanding any entry in any books of the Company may be invested or otherwise made use of by the Board for the benefit of the Company or otherwise howsoever, and the Company shall not be constituted a trustee in respect thereof. All Dividends, bonuses or other distributions or the proceeds of the realisation of any of the foregoing unclaimed for six years after having been declared may be forfeited by the Board and, upon such forfeiture, shall revert to the Company and, in the case where any of the same are securities of the Company, may be re-allotted or re-issued for such consideration as the Board thinks fit and the proceeds thereof shall accrue to the benefit of the Company absolutely.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jc w:val="both"/>
        <w:ind w:left="660" w:hanging="652"/>
        <w:spacing w:after="0" w:line="254"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any resolution declaring a Dividend or other distribution on Shares of any class, whether a resolution of the Company in general meeting or a resolution of the Board, may specify that the same shall be payable or made to the persons registered as the holder of such Shares at the close of business on a particular date or at a particular time on a particular date, and thereupon the Dividend or other distribution shall be payable or made to them in accordance with their respective holdings so registered, but without prejudice to the rights inter se in respect of such Dividend or other distribution between the transferors and transferees of any such Shares. The provisions of this Article shall mutatis mutandis apply to determining the Shareholders entitled to receive notice and vote at any general meeting of the Company, bonuses, capitalisation issues, distributions of realised and unrealised capital profits or other distributable reserves or accounts of the Company and offers or grants made by the Company to the Shareholders.</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at any time and from time to time resolve that any surplus moneys in the hands of the Company representing capital profits arising from moneys received or recovered in respect of or arising from the realisation of any capital assets of the Company or any investments representing the same and not required for the payment or provision of any fixed preferential Dividend instead of being applied in the purchase of any other capital assets or for other capital purposes be distributed amongst its Shareholders on the footing that they receive the same as capital and in the Shares and proportions in which they would have been entitled to receive the same if it had been distributed by way of Dividend, provided that no such surplus moneys as aforesaid shall be so distributed unless the Company will remain solvent after the distribution, or the net realisable value of the assets of the Company will after the distribution be greater than the aggregate of its liabilities, share capital and share premium account.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RETURNS</w:t>
      </w:r>
    </w:p>
    <w:p>
      <w:pPr>
        <w:spacing w:after="0" w:line="229" w:lineRule="exact"/>
        <w:rPr>
          <w:sz w:val="20"/>
          <w:szCs w:val="20"/>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or cause to be made such annual or other returns or filings as may be required to be made in accordance with the Companies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proper books of account to be kept of the sums of money received and expended by the Company, and the matters in respect of which such receipts and expenditure take place; and of the assets and liabilities of the Company and of all other matters required by the Companies Act necessary to give a true and fair view of the state of the Company’s affairs and to show and explain its transactions. The financial year of the Company shall end on 31 December of each year or such other date as the Directors may determine, subject to these Articles.</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Head Office or at such other place or places as the Board thinks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or other person shall have any right of inspecting any account or book or document of the Company except as conferred by the Companies Act or ordered by a court of competent jurisdiction or authorised by the Board or the Company in general meeting.</w:t>
      </w:r>
    </w:p>
    <w:p>
      <w:pPr>
        <w:spacing w:after="0" w:line="161" w:lineRule="exact"/>
        <w:rPr>
          <w:rFonts w:ascii="Times New Roman" w:cs="Times New Roman" w:eastAsia="Times New Roman" w:hAnsi="Times New Roman"/>
          <w:sz w:val="18"/>
          <w:szCs w:val="18"/>
          <w:color w:val="auto"/>
        </w:rPr>
      </w:pPr>
    </w:p>
    <w:p>
      <w:pPr>
        <w:ind w:left="1140" w:hanging="1132"/>
        <w:spacing w:after="0" w:line="261"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from time to time cause to be prepared and laid before the Company at its annual general meeting profit and loss accounts and balance sheets of the Company and such other reports and documents as may be required by law and the Listing Rules. The accounts of the Company shall be prepared and audited based on the generally accepted accounting principles of Hong Kong, the International Accounting Standards, or such other standards as may be permitted by the HK Stock Exchange.</w:t>
      </w:r>
    </w:p>
    <w:p>
      <w:pPr>
        <w:spacing w:after="0" w:line="179" w:lineRule="exact"/>
        <w:rPr>
          <w:rFonts w:ascii="Times New Roman" w:cs="Times New Roman" w:eastAsia="Times New Roman" w:hAnsi="Times New Roman"/>
          <w:sz w:val="18"/>
          <w:szCs w:val="18"/>
          <w:color w:val="auto"/>
        </w:rPr>
      </w:pPr>
    </w:p>
    <w:p>
      <w:pPr>
        <w:jc w:val="both"/>
        <w:ind w:left="1140" w:hanging="498"/>
        <w:spacing w:after="0" w:line="253" w:lineRule="auto"/>
        <w:tabs>
          <w:tab w:leader="none" w:pos="11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every balance sheet of the Company shall be signed on behalf of the Board by two of the Directors and a copy of every balance sheet (including every document required by law to be comprised therein or annexed thereto) and profit and loss account which is to be laid before the Company at its annual general meeting, together with a copy of the Directors’ report and a copy of the Auditors’ report thereon, shall, not less than 21 days before the date of the meeting be delivered or sent in accordance with Article 192(b) together with the notice of annual general meeting to every Shareholder and every Debenture Holder of the Company and every other person entitled to receive notices of general meetings of the Company under the provisions of these Articles, provided that this Article shall not require a copy of those documents to be sent to any person of whose address the Company is not aware or to more than one of the joint holders of any Shares or Debentures, but any Shareholder or Debenture Holder to whom a copy of those documents has not been sent shall be entitled to receive a copy free of charge on application at the Head Office or the Registration Office. If all or any of the Shares or Debentures or other securities of the Company shall for the time being be (with the consent of the Company) listed or dealt in on any stock exchange or market, there shall be forwarded to such stock exchange or market such number of copies of such documents as may for the time being be required under its regulations or practice.</w:t>
      </w:r>
    </w:p>
    <w:p>
      <w:pPr>
        <w:spacing w:after="0" w:line="189" w:lineRule="exact"/>
        <w:rPr>
          <w:rFonts w:ascii="Times New Roman" w:cs="Times New Roman" w:eastAsia="Times New Roman" w:hAnsi="Times New Roman"/>
          <w:sz w:val="18"/>
          <w:szCs w:val="18"/>
          <w:color w:val="auto"/>
        </w:rPr>
      </w:pPr>
    </w:p>
    <w:p>
      <w:pPr>
        <w:jc w:val="both"/>
        <w:ind w:left="1140" w:hanging="498"/>
        <w:spacing w:after="0" w:line="258" w:lineRule="auto"/>
        <w:tabs>
          <w:tab w:leader="none" w:pos="11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the Company may send summarised financial statements to Shareholders who has, in accordance with the Listing Rules, consented and elected to receive summarised financial statements instead of the full financial statements. The summarised financial statements must be accompanied by any other documents as may be required under the Listing Rules and must be sent to the Shareholders not less than twenty-one days before the general meeting to those Shareholders that have consented and elected to receive the summarised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ind w:left="1140" w:hanging="1132"/>
        <w:spacing w:after="0" w:line="254"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at each annual general meeting appoint one or more firms of auditors to hold office until the conclusion of the next annual general meeting on such terms and with such duties as may be agreed with the Board, but if an appointment is not made, the Auditors in office shall continue in office until a successor is appointed. A Director, officer or employee of any such Director, officer or employee shall not be appointed Auditors of the Company. The Company in general meeting or a body that is independent of the Board may fill any casual vacancy in the office of Auditors, but while any such vacancy continues the surviving or continuing Auditors (if any) may act. The appointment, removal and remuneration of the Auditors must be approved by a majority of the Company’s Shareholders in a general meeting or by another body that is independent of the Board, and the remuneration of any Auditors appointed to fill any casual vacancy may be fixed by the Company in general meeting or by a body that is independent of the Board.</w:t>
      </w:r>
    </w:p>
    <w:p>
      <w:pPr>
        <w:spacing w:after="0" w:line="191" w:lineRule="exact"/>
        <w:rPr>
          <w:rFonts w:ascii="Times New Roman" w:cs="Times New Roman" w:eastAsia="Times New Roman" w:hAnsi="Times New Roman"/>
          <w:sz w:val="18"/>
          <w:szCs w:val="18"/>
          <w:color w:val="auto"/>
        </w:rPr>
      </w:pPr>
    </w:p>
    <w:p>
      <w:pPr>
        <w:jc w:val="both"/>
        <w:ind w:left="1140" w:hanging="498"/>
        <w:spacing w:after="0" w:line="281" w:lineRule="auto"/>
        <w:tabs>
          <w:tab w:leader="none" w:pos="11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may, at any general meeting convened and held in accordance with these Articles, remove the Auditors by Ordinary Resolution at any time before the expiration of the term of office and shall, by Ordinary Resolution, at that meeting appoint new auditors in its place for the remainder of the term. A body that is independent of the Board may also remove the Auditor by a simple majority vote before the expiration of the term of office and shall by a simple majority vote appoint new Auditor in its place for the remainder of the term.</w:t>
      </w:r>
    </w:p>
    <w:p>
      <w:pPr>
        <w:spacing w:after="0" w:line="164" w:lineRule="exact"/>
        <w:rPr>
          <w:rFonts w:ascii="Times New Roman" w:cs="Times New Roman" w:eastAsia="Times New Roman" w:hAnsi="Times New Roman"/>
          <w:sz w:val="17"/>
          <w:szCs w:val="17"/>
          <w:color w:val="auto"/>
        </w:rPr>
      </w:pPr>
    </w:p>
    <w:p>
      <w:pPr>
        <w:jc w:val="both"/>
        <w:ind w:left="660" w:hanging="652"/>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of the Company shall have a right of access at all times to the books and accounts and vouchers of the Company and shall be entitled to require from the Directors and officers of the Company such information as may be necessary for the performance of his or their duties, and the Auditors shall audit every balance sheet and profit and loss account of the Company in each year and prepare an Auditors’ report thereon to be annexed thereto. Such report shall be laid before the Company in the annual general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retiring Auditors shall be appointed as Auditors at an annual general meeting unless notice of an intention to nominate that person to the office of Auditors has been given to the Company not less than 14 clear days before the annual general meeting, and the Company shall send a copy of any such notice to the retiring Auditors and shall give notice thereof to the Shareholders not less than seven days before the annual general meeting provided that the above requirement for sending a copy of such notice to the retiring Auditors may be waived by notice in writing by the retiring Auditors to the Secretary.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person acting as Auditors shall, as regards all persons dealing in good faith with the Company, be valid, notwithstanding that there was some defect in their appointment or that they were at the time of their appointment not qualified for appointment or subsequently became disqualified.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1140" w:hanging="1132"/>
        <w:spacing w:after="0" w:line="266"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where otherwise expressly stated, any notice or document to be given to or by any person pursuant to these Articles shall be in writing or, to the extent permitted by the Companies Act and the Listing Rules from time to time and subject to this Article, contained in an electronic communication. A notice calling a meeting of the Board need not be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ind w:left="1300" w:hanging="644"/>
        <w:spacing w:after="0" w:line="253"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expressly stated, any notice or document to be given to or by any person pursuant to these Articles (including any corporate communications within the meaning ascribed thereto under the Listing Rules) may be served on or delivered to any Shareholder either personally or by sending it through the post in a prepaid envelope or wrapper addressed to such Shareholder at his registered address as appearing in the Register or by leaving it at that address addressed to the Shareholder or by any other means authorised in writing by the Shareholder concerned or (other than share certificate) by publishing it by way of advertisement in the Newspapers. In case of joint holders of a share, all notices shall be given to that one of the joint holders whose name stands first in the Register and notice so given shall be sufficient notice to all the joint holders. Without limiting the generality of the foregoing but subject to applicable laws (including the Companies Act and the Listing Rules), a notice or document may be served or delivered by the Company to any Shareholder by electronic means to such address as may from time to time be authorised by the Shareholder concerned or by publishing it on both the Company’s and the Stock Exchange’s websites and notifying the Shareholder concerned that it has been so published.</w:t>
      </w:r>
    </w:p>
    <w:p>
      <w:pPr>
        <w:spacing w:after="0" w:line="191"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or document may be served or delivered by the Company by reference to the Register as it stands at any time not more than fifteen days before the date of service or delivery. No change in the Register after that time shall invalidate that service or delivery. Where any notice or document is served or delivered to any person in respect of a share in accordance with these Articles, no person deriving any title or interest in that share shall be entitled to any further service or delivery of that notice or document.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required to be sent to or served upon the Company, or upon any officer of the Company, may be sent or served by leaving the same or sending it through the post in a prepaid envelope or wrapper addressed to the Company or to such officer at the Head Office or Registered Office.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specify the form and manner in which a notice may be given to the Company by electronic means, including one or more addresses for the receipt of an electronic communication, and may prescribe such procedures as they think fit for verifying the authenticity or integrity of any such electronic communication. Any notice may be given to the Company by electronic means only if it is given in accordance with the requirements specified by the Board.</w:t>
      </w:r>
    </w:p>
    <w:p>
      <w:pPr>
        <w:spacing w:after="0" w:line="179" w:lineRule="exact"/>
        <w:rPr>
          <w:rFonts w:ascii="Times New Roman" w:cs="Times New Roman" w:eastAsia="Times New Roman" w:hAnsi="Times New Roman"/>
          <w:sz w:val="18"/>
          <w:szCs w:val="18"/>
          <w:color w:val="auto"/>
        </w:rPr>
      </w:pPr>
    </w:p>
    <w:p>
      <w:pPr>
        <w:jc w:val="right"/>
        <w:ind w:left="1140" w:hanging="1132"/>
        <w:spacing w:after="0" w:line="255" w:lineRule="auto"/>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Shareholder whose registered address is outside the Relevant Territory may notify the Company in writing of (i) an address in the Relevant Territory which for the purpose of service of notice shall be deemed to be their registered address or (ii) an electronic address for the purpose of service of notice. Where the registered address of the Shareholder is outside the Relevant Territory, notice, (i) if given through the post to the registered address which is outside the Relevant Territory, shall be sent by prepaid airmail letter where available, or</w:t>
      </w:r>
    </w:p>
    <w:p>
      <w:pPr>
        <w:spacing w:after="0" w:line="2"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by electronic means, shall be sent in accordance with Article 198(b).</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left="1140" w:hanging="498"/>
        <w:spacing w:after="0" w:line="252" w:lineRule="auto"/>
        <w:tabs>
          <w:tab w:leader="none" w:pos="11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fails (and, where a Share is held by joint holders, where the first joint holder named on the Register fails) to supply their registered address or a correct registered address or, in the case of electronic communications, fails to supply their electronic address or a correct and functional electronic address, to the Company for service of notices and documents on such Shareholder shall not (and where a Share is held by joint holders, none of the other joint holders whether or not they have supplied a registered address shall) be entitled to service of any notice or documents by the Company and any notice or document which is otherwise required to be served on such Shareholder may, if the Board in its absolute discretion so elects (and subject to them re-electing otherwise from time to time), be served, in the case of notices, by displaying a copy of such notice conspicuously at the Registered Office and the Head Office or, if the Board sees fit, by advertisement in the Newspapers, and, in the case of documents, by posting up a notice conspicuously at the Registered Office and the Head Office addressed to such Shareholder which notice shall state the address within the Relevant Territory at which such Shareholder may obtain a copy of the relevant document, or by displaying or otherwise making available the relevant notice or document on the Company’s website and stating the address within the Relevant Territory at which such Shareholder may obtain a copy of the notice or the document. Any notice or document served in the manner so described shall be sufficient service as regards Shareholders with no registered or incorrect addresses, or in the case of electronic communications, no or an incorrect or a non-functional electronic address, provided that nothing in this paragraph (b) shall be construed as requiring the Company to serve any notice or document on any Shareholder with no or an incorrect registered address for the service of notice or document on such Shareholder or on any Shareholder other than the first named on the Register.</w:t>
      </w:r>
    </w:p>
    <w:p>
      <w:pPr>
        <w:spacing w:after="0" w:line="194" w:lineRule="exact"/>
        <w:rPr>
          <w:rFonts w:ascii="Times New Roman" w:cs="Times New Roman" w:eastAsia="Times New Roman" w:hAnsi="Times New Roman"/>
          <w:sz w:val="18"/>
          <w:szCs w:val="18"/>
          <w:color w:val="auto"/>
        </w:rPr>
      </w:pPr>
    </w:p>
    <w:p>
      <w:pPr>
        <w:jc w:val="both"/>
        <w:ind w:left="1140" w:hanging="498"/>
        <w:spacing w:after="0" w:line="255" w:lineRule="auto"/>
        <w:tabs>
          <w:tab w:leader="none" w:pos="11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three consecutive occasions notices or other documents have been sent through the post to any Shareholder (or, in the case of joint holders of a share, the first holder named on the Register) at the registered address of such Shareholder or by electronic means to the electronic address of such Shareholder but have been returned undelivered, such Shareholder (and, in the case of joint holders of a Share, all other joint holders of the share) shall not thereafter be entitled to receive or be served (save as the Board may elect otherwise pursuant to paragraph (b) of this Article) and shall be deemed to have waived the service of notices and other documents from the Company until such Shareholder shall have communicated with the Company and supplied in writing a new registered address or a new electronic address for the service of notices on such Shareholder.</w:t>
      </w:r>
    </w:p>
    <w:p>
      <w:pPr>
        <w:spacing w:after="0" w:line="188" w:lineRule="exact"/>
        <w:rPr>
          <w:rFonts w:ascii="Times New Roman" w:cs="Times New Roman" w:eastAsia="Times New Roman" w:hAnsi="Times New Roman"/>
          <w:sz w:val="18"/>
          <w:szCs w:val="18"/>
          <w:color w:val="auto"/>
        </w:rPr>
      </w:pPr>
    </w:p>
    <w:p>
      <w:pPr>
        <w:jc w:val="both"/>
        <w:ind w:left="1140" w:hanging="498"/>
        <w:spacing w:after="0" w:line="266" w:lineRule="auto"/>
        <w:tabs>
          <w:tab w:leader="none" w:pos="11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election by a Shareholder from time to time to receive any notice or document through electronic means, such Shareholder may, at any time, require the Company to send to such Shareholder, in addition to an electronic copy thereof, a printed copy of any notice or document which such Shareholder is entitled to receive in such person’s capacity as a Shareholder.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sent by mail, postage prepaid, shall be deemed to have been served or delivered on the day following that on which the letter, envelope, or wrapper containing the same is put into the post. In proving such service it shall be sufficient to prove that the letter, envelope or wrapper containing the notice or document was properly addressed and put into the post as prepaid mail. Any notice or document not sent by post but left by the Company at a registered address shall be deemed to have been served or delivered on the day it was so left. Any notice or document, if sent by electronic means (including through any relevant system), shall be deemed to have been given on the day following that on which the electronic communication was sent by or on behalf of the Company. Any notice or document served or delivered by the Company by any other means authorised in writing by the Shareholder concerned shall be deemed to have been served when the Company has carried out the action it has been authorised to take for that purpose. Any notice or other document published by way of advertisement (to the extent permitted by applicable laws) shall be deemed to have been served or delivered on the day it was so published. Any notice or other document published on a website or websites (other than pursuant to Article 193(b)) shall be deemed to have been served or delivered on the date that the Shareholder concerned is notified that it has been so published.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left="660" w:hanging="652"/>
        <w:spacing w:after="0" w:line="25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document may be given by the Company to the person entitled to a Share in consequence of the death, mental disorder, bankruptcy or liquidation of a Shareholder by sending it via electronic means or through the post in a prepaid envelope or wrapper addressed to him by name, or by the title of representative of the deceased, the trustee of the bankrupt or the liquidator of the Shareholder, or by any like description, at the electronic or postal address, if any, supplied for the purpose by the person claiming to be so entitled, or (until such electronic or postal address has been so supplied) by giving the notice or document in any manner in which the same might have been given if the death, mental disorder, bankruptcy or winding up had not occurred.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served to the person from whom he derives his title to such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or by electronic communications to any Shareholder, or published on both the Company’s website and the website of the HK Stock Exchange where a notice of such publication has been sent by post or by electronic communications to any Shareholder, or left at the registered address of any Shareholder in pursuance of these Articles, shall notwithstanding that such Shareholder be then deceased, bankrupt or wound up and whether or not the Company has notice of his death, bankruptcy or winding up, be deemed to have duly served in respect of any registered Shares whether held solely or jointly with other persons by such Shareholder 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to any notice or document to be given by the Company may be written or printed.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shall be entitled to require discovery of or any information respecting any detail of the Company’s trading or any matter which is or may be in the nature of a trade secret, mystery of trade or secret process which may relate to the conduct of the business of the Company which in the opinion of the Board will be inexpedient in the interests of the Shareholders of the Company to communicate to the public.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ind w:left="66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 resolution that the Company be wound up by the Court or be wound up voluntarily which shall be passed by way of a Special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surplus assets remaining after payment to all creditors shall be divided among the Shareholders in proportion to the capital paid up on the Shares held by them respectively, and if such surplus assets shall be insufficient to repay the whole of the paid up capital, they shall be distributed, subject to the rights of any Shares which may be issued on special terms and conditions, so that, as nearly as may be, the losses shall be borne by the Shareholders in proportion to the capital paid on the Shares held by them respectively.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(in whatever manner) the liquidator may, with the sanction of a Special Resolution and any other sanction required by the Companies Act, divide among the Shareholders in specie or kind the whole or any part of the assets of the Company whether the assets shall 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Shareholders or different classes of Shareholders and the Shareholders within each class. The liquidator may, with the like sanction, vest any part of the assets in trustees upon such trusts for the benefit of Shareholders as the liquidator, with the like sanction, shall think fit, but so that no Shareholder shall be compelled to accept any Shares or other assets upon which there is a liability.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managing directors, alternate Directors, Auditors, Secretary and other officers for the time being of the Company and the trustees (if any) for the time being acting in relation to any of the affairs of the Company, and their respective executors or administrators, shall be indemnified and secured harmless out of the assets of the Company from and against all actions, costs, charges, losses, damages and expenses which they or any of them, their or any of their executors or administrators, shall or may incur or sustain by reason of any act done, concurred in or omitted in or about the execution of their duty or supposed duty in their respective offices or trusts, except such (if any) as they shall incur or sustain through their own fraud or dishonesty, and none of them shall be answerable for the acts, receipts, neglects or defaults of any other of them, or for joining in any receipt for the sake of conformity, or for any bankers or other persons with whom any moneys or effects of the Company shall be lodged or deposited for safe custody, or for the insufficiency or deficiency of any security upon which any moneys of the Company shall be placed out or invested, or for any other loss, misfortune or damage which may arise in the execution of their respective offices or trusts, or in relation thereto, except as the same shall happen by or through their own fraud, dishonest, or recklessness. The Company may take out and pay the premium and other moneys for the maintenance of insurance, bonds and other instruments for the benefit either of the Company or the Directors (and/or other officers) or any of them to indemnify the Company and/or Directors (and/or other officers) named therein for this purpose against any loss, damage, liability and claim which they may suffer or sustain in connection with any breach by the Directors (and/or other officers) or any of them of their duties to the Company.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UNTRACEABLE SHAREHOLDERS</w:t>
      </w:r>
    </w:p>
    <w:p>
      <w:pPr>
        <w:spacing w:after="0" w:line="229" w:lineRule="exact"/>
        <w:rPr>
          <w:sz w:val="20"/>
          <w:szCs w:val="20"/>
          <w:color w:val="auto"/>
        </w:rPr>
      </w:pPr>
    </w:p>
    <w:p>
      <w:pPr>
        <w:ind w:left="66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to cease sending cheques for Dividend entitlements or Dividend warrants by post if such cheques or warrants remain uncashed on two consecutive occasions or after the first occasion on which such a cheque or warrant is returned undelivered.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1300" w:hanging="1292"/>
        <w:spacing w:after="0" w:line="282" w:lineRule="auto"/>
        <w:tabs>
          <w:tab w:leader="none" w:pos="6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shall have the power to sell, in such manner as the Board thinks fit, any Shares of a Shareholder who is untraceable, but no such sale shall be made unless: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12 years prior to the date of the advertisements referred to in sub-paragraph (ii) below (or, if published more than once, the first thereof) at least three Dividends or other distributions in respect of the Shares in question have become payable or been made and no Dividend or other distribution in respect of the Shares during that period has been claimed;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caused an advertisement to be inserted in the Newspapers of its intention to sell such Shares and a period of three months has elapsed since the date of such advertisement (or, if published more than once, the first thereof);</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at any time during the said periods of 12 years and three months received any indication of the existence of the holder of such Shares or of a person entitled to such Shares by death, bankruptcy or operation of law;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the HK Stock Exchange of its intention of such sale.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any person to transfer the said Shares and the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proceeds it shall become indebted to the former Shareholder for an amount equal to such net proceeds. Notwithstanding any entries made by the Company in any of its books or otherwise howsoever, no trusts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Shareholder holding the Shares sold is dead, bankrupt, wound up or otherwise under any legal disability or incapacity.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29"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destroy: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year from the date of such cancellation;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mandate or any variation or cancellation thereof or any notification of change of name or address at any time after the expiry of two years from the date on which such mandate, variation, cancellation or notification was recorded by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six years from the date of registration;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1300" w:hanging="644"/>
        <w:spacing w:after="0" w:line="282"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on the basis of which any entry in the Register is made, at any time after the expiry of six years from the date on which an entry in the Register was first made in respect of it;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80" w:lineRule="exact"/>
        <w:rPr>
          <w:sz w:val="20"/>
          <w:szCs w:val="20"/>
          <w:color w:val="auto"/>
        </w:rPr>
      </w:pPr>
    </w:p>
    <w:p>
      <w:pPr>
        <w:ind w:left="1960" w:hanging="656"/>
        <w:spacing w:after="0" w:line="282" w:lineRule="auto"/>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be construed as imposing upon the Company any liability in respect of the destruction of any such document earlier than as aforesaid or in any case where the conditions of proviso (i) above are not fulfilled;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 to its disposal in any manner.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 RESERVE</w:t>
      </w:r>
    </w:p>
    <w:p>
      <w:pPr>
        <w:spacing w:after="0" w:line="229"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have effect to the extent that they are not prohibited by and are in compliance with the Companies Act: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long as any of the rights attaching to any warrants issued by the Company to subscribe for Shares shall remain exercisable, the Company does any act or engages in any transaction which, as a result of any adjustments to the subscription price in accordance with the provisions applicable under the terms and conditions of the warrants, would reduce the subscription price to below the par value of a Share, then the following provisions shall apply:</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date of such act or transaction the Company shall establish and thereafter (subject as provided in this Article) maintain in accordance with the provisions of this Article a reserve (the “</w:t>
      </w:r>
      <w:r>
        <w:rPr>
          <w:rFonts w:ascii="Times New Roman" w:cs="Times New Roman" w:eastAsia="Times New Roman" w:hAnsi="Times New Roman"/>
          <w:sz w:val="18"/>
          <w:szCs w:val="18"/>
          <w:b w:val="1"/>
          <w:bCs w:val="1"/>
          <w:color w:val="auto"/>
        </w:rPr>
        <w:t>Subscription Right Reserve</w:t>
      </w:r>
      <w:r>
        <w:rPr>
          <w:rFonts w:ascii="Times New Roman" w:cs="Times New Roman" w:eastAsia="Times New Roman" w:hAnsi="Times New Roman"/>
          <w:sz w:val="18"/>
          <w:szCs w:val="18"/>
          <w:color w:val="auto"/>
        </w:rPr>
        <w:t>”)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(iii) below on the exercise in full of all the subscription rights outstanding and shall apply the Subscription Right Reserve in paying up in full the amount of the shortfall referred to in sub-paragraph (iii) in respect of such additional Shares as and when the same are allotted;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 Reserve shall not be used for any purpose other than that specified above unless all other reserves of the Company (other than the share premium account) have been extinguished and will then only be used to make good losses of the Company if and so far as is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left="1304" w:hanging="656"/>
        <w:spacing w:after="0" w:line="258" w:lineRule="auto"/>
        <w:tabs>
          <w:tab w:leader="none" w:pos="13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shortfall between:</w:t>
      </w:r>
    </w:p>
    <w:p>
      <w:pPr>
        <w:spacing w:after="0" w:line="183" w:lineRule="exact"/>
        <w:rPr>
          <w:rFonts w:ascii="Times New Roman" w:cs="Times New Roman" w:eastAsia="Times New Roman" w:hAnsi="Times New Roman"/>
          <w:sz w:val="18"/>
          <w:szCs w:val="18"/>
          <w:color w:val="auto"/>
        </w:rPr>
      </w:pPr>
    </w:p>
    <w:p>
      <w:pPr>
        <w:jc w:val="both"/>
        <w:ind w:left="1624" w:hanging="328"/>
        <w:spacing w:after="0" w:line="266" w:lineRule="auto"/>
        <w:tabs>
          <w:tab w:leader="none" w:pos="1624"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75" w:lineRule="exact"/>
        <w:rPr>
          <w:rFonts w:ascii="Times New Roman" w:cs="Times New Roman" w:eastAsia="Times New Roman" w:hAnsi="Times New Roman"/>
          <w:sz w:val="18"/>
          <w:szCs w:val="18"/>
          <w:color w:val="auto"/>
        </w:rPr>
      </w:pPr>
    </w:p>
    <w:p>
      <w:pPr>
        <w:jc w:val="both"/>
        <w:ind w:left="1624" w:hanging="328"/>
        <w:spacing w:after="0" w:line="256" w:lineRule="auto"/>
        <w:tabs>
          <w:tab w:leader="none" w:pos="1624"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 Reserve as is required to pay up in full such additional nominal amount of Shares shall be capitalised and applied in paying up in full such additional nominal amount of Shares which shall forthwith be allotted credited as fully paid to the exercising warrant holder; and</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exercise of the subscription rights represented by any warrant the amount standing to the credit of the Subscription Right Reserve is not sufficient to pay up in full such additional nominal amount of Shares equal to such shortfall as aforesaid to which the exercising warrant holder is entitled, the Board shall apply any profits or reserves then or thereafter becoming available (including, to the extent permitted or not prohibited by law, the share premium account) for such purpose until such additional nominal amount of Shares is paid up and allotted as aforesaid and until then no Dividend or other distribution shall be paid or made on the fully paid Shares then in issue. Pending such payment up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allotted pursuant to the provisions of this Article shall rank pari passu in all respects with the other Shares allotted or which ought to be allotted on the relevant exercise of the subscription rights represented by the warrant concerned. Notwithstanding anything contained in paragraph (a) of this Article, no fraction of any Share shall be allotted on exercise of the subscription rights.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2" w:name="page73"/>
    <w:bookmarkEnd w:id="72"/>
    <w:p>
      <w:pPr>
        <w:jc w:val="both"/>
        <w:ind w:left="1300" w:hanging="644"/>
        <w:spacing w:after="0" w:line="261"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as to the establishment and maintenance of the Subscription Right Reserve shall not be altered or added to in any way which would vary or abrogate, or which would have the effect of varying or abrogating, the provisions for the benefit of any warrant holder or class of warrant holders under this Article without the sanction of a Special Resolution of such warrant holder(s) or class of warrant holders.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report by the Auditors as to whether or not the Subscription Right Reserve is required to be established and maintained and if so the amount thereof so required to be established and maintained, as to the purpose for which the Subscription Right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 Reserve shall (in the absence of manifest error) be conclusive and binding upon the Company and all warrant holders and Shareholders.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29" w:lineRule="exact"/>
        <w:rPr>
          <w:sz w:val="20"/>
          <w:szCs w:val="20"/>
          <w:color w:val="auto"/>
        </w:rPr>
      </w:pPr>
    </w:p>
    <w:p>
      <w:pPr>
        <w:ind w:left="660" w:hanging="652"/>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have effect at any time and from time to time provided that they are not prohibited by or inconsistent with the Companies Act: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convert any fully paid Shares into stock, and may from time to time by like resolution reconvert any stock into fully paid Shares of any denomination.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may transfer the same or any part thereof in the same manner, and subject to the same regulations as and subject to which the Shares from which the stock arose might prior to conversion have been transferred or as near thereto as circumstances admit, but the Board may from time to time, if it thinks fit, fix the minimum amount of stock transferable and restrict or prohibit the transfer of fractions of that minimum, but so that such minimum shall not exceed the nominal amount of the Shares from which the stock arose. No warrants to bearer shall be issued in respect of any stock.</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shall, according to the amount of the stock held by them, have the same rights, privileges and advantages as regards Dividends, participation in assets on a winding up, voting at meetings, and other matters, as if they held the Shares from which the stock arose, but no such rights, privileges or advantages (except participation in the Dividends and profits and in the assets on winding up of the Company) shall be conferred by an amount of stock which would not, if existing in Shares, have conferred such rights, privileges or advantages.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 the provisions of these Articles as are applicable to fully paid Shares shall apply to stock, and the words “Share” and “Shareholder” herein shall include “stock” and “stockholder” and “member”.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156845</wp:posOffset>
            </wp:positionV>
            <wp:extent cx="1543050" cy="582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Releases Latest Clinical Data from Multiple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Trials at ASCO 2026</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May 21, 2026 </w:t>
      </w:r>
      <w:r>
        <w:rPr>
          <w:rFonts w:ascii="Times New Roman" w:cs="Times New Roman" w:eastAsia="Times New Roman" w:hAnsi="Times New Roman"/>
          <w:sz w:val="18"/>
          <w:szCs w:val="18"/>
          <w:color w:val="auto"/>
        </w:rPr>
        <w:t>— 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commercial-stage, integrated biopharmaceutical company engaged in the discovery, development and commercialization of novel, differentiated therapies to address unmet medical needs in cancer, today announced that six abstracts from its clinical studies, selected for presentation at the 2026 American Society of Clinical Oncology (ASCO) Annual Meeting, are now available on ASCO’s official website. Three of the six studies have been selected for rapid oral presentations, and three as poster presentations. These abstracts report data from ongoing studies evaluating the company’s three lead drug candidates, including BCR-ABL inhibitor olverembatinib(HQP1351); Bcl-2 inhibitor lisaftoclax (APG-2575); and MDM2-p53 inhibitor alrizomadlin (APG-115).</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year’s ASCO Annual Meeting will take place in person at McCormick Place in Chicago, IL, and online, May 29 – June 2, 2026. The ASCO Annual Meeting showcases cutting-edge research in clinical oncology and advanced cancer therapies and is the world’s largest gathering in the clinical oncology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clinical results from Ascentage Pharma’s abstracts selected for the 2026 ASCO Annual Meeting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Rapid Oral Presentations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Olverembatinib (HQP1351) combined with blinatumomab in patients with lymphoid blast phase chronic myeloid leukemia (CML-LBP) or Philadelphia chromosome-positive B-cell precursor acute lymphoblastic leukemia (Ph+ BCP-ALL)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6513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Malignancies—Leukemia, Myelodysplastic Syndromes, and Allotransplant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May 30, 2026, 1:51 - 1:57 p.m., Central Time (May 31, 2026, 2:51 - 2:57 a.m., Beijing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Elias Jabbour, MD, Department of Leukemia, The University of Texas MD Anderson Cancer Center, 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multicenter, open-label phase Ib study evaluated the combination of olverembatinib and blinatumomab in patients with relapsed/refractory (R/R) Ph+ BCP-ALL or CML-LBP.</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five patients with measurable residual disease (MRD) positivity and no complete response (CR) at study entry, four achieved CR, and two achieved MRD negativity, with an overall manageable safety profile.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provides initial clinical evidence supporting the feasibility of combining olverembatinib with immunotherapy in patients with CML-LBP and R/R Ph+ BCP-ALL in an international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(HQP1351) as second-line therapy in patients with chronic-phase chronic myeloid leukemia (CP-CML)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6510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Malignancies—Leukemia, Myelodysplastic Syndromes, and Allotransplant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May 30, 2026, 1:21 – 1:27 p.m., Central Time (May 31, 2026, 2:21 – 2:27 a.m., Beijing Time)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Weiming Li, MD, Department of Hematology, Union Hospital, Tongji Medical College, Huazhong University of Science and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Wuhan,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single-arm, multicenter, open-label study conducted in China, evaluating the efficacy and safety of olverembatinib as a second-line therapy in patients with CP-CML.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42 evaluable patients, at cycle 24, the complete cytogenetic response (CCyR) rate reached 91.3%, and the major molecular response (MMR) rate reached 60.9%. Among 32 patients who failed first-line second-generation TKIs, 81.3% achieved CCyR and 50% achieved MMR, with a favorable safety profile.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Olverembatinib shows good tolerability and leads to high MMR and CCyR in patients with CP- CML without T315I mutation that is resistant/intolerant to first-line TKls.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Alrizomadlin (APG-115) alone or in combination with lisaftoclax (APG-2575) for the treatment of pediatric patients with relapsed/metastatic rhabdomyosarcoma (RMS) or other soft-tissue sarcomas (STSs)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10012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Pediatric Oncology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May 30, 2026, 8:00 - 8:06a.m., Central Time (May 30, 2026, 9:00 -9:06 p.m., Beijing Time)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Yizhuo Zhang, MD, Department of Pediatric Oncology, Sun Yat-sen University Cancer Center, State Key Laboratory of Oncology in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 Collaborative Innovation Center for Cancer Medicine, Guangzhou,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multicenter clinical trial conducted in China, evaluating the safety and preliminary efficacy of alrizomadlin (APG-115) as monotherapy or in combination with lisaftoclax (APG-2575) in heavily pretreated pediatric patients with neuroblastoma (NB), as well as relapsed/metastatic rhabdomyosarcoma (RMS), Ewing sarcoma (EWS), and other soft-tissue sarcomas (STSs).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ind w:left="660" w:hanging="328"/>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showed that no dose-limiting toxicities (DLT) were observed in either monotherapy or combination groups. Adverse events were mainly gastrointestinal and hematologic, with few serious adverse events, and no treatment-related deaths or discontinuations. In terms of clinical benefit, one patient with refractory RMS in the monotherapy group achieved CR; in the combination group, the objective response rate (ORR) was 30% and the disease control rate (DCR) was 80%.</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regimen demonstrated a manageable safety profile and preliminary antitumor activity in pediatric solid tumors, warranting further investigation.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Poster Presentations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clinical and translational results of olverembatinib (HQP1351) in patients with succinate dehydrogenase (SDH)-deficient tumors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11539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Sarcoma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June 1, 2026, 1:30 - 4:30 p.m., Central Time (June 2, 2026, 2:30 - 5:30 a.m., Beijing Time)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Haibo Qiu, MD, PhD, Sun Yat-sen University Cancer Center; State Key Laboratory of Oncology in South China Collaborative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for Cancer Medicine, Sun Yat-sen University Cancer Center, Guangzhou,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in SDH-deficient tumors evaluated the efficacy of olverembatinib in patients with SDH-deficient gastrointestinal stromal tumors (GIST) and paraganglioma.</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32" w:lineRule="exact"/>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26 patients with SDH-deficient GIST, 6</w:t>
      </w:r>
      <w:r>
        <w:rPr>
          <w:rFonts w:ascii="PMingLiU" w:cs="PMingLiU" w:eastAsia="PMingLiU" w:hAnsi="PMingLiU"/>
          <w:sz w:val="18"/>
          <w:szCs w:val="18"/>
          <w:color w:val="auto"/>
        </w:rPr>
        <w:t>（</w:t>
      </w:r>
      <w:r>
        <w:rPr>
          <w:rFonts w:ascii="Times New Roman" w:cs="Times New Roman" w:eastAsia="Times New Roman" w:hAnsi="Times New Roman"/>
          <w:sz w:val="18"/>
          <w:szCs w:val="18"/>
          <w:color w:val="auto"/>
        </w:rPr>
        <w:t>23.1%</w:t>
      </w:r>
      <w:r>
        <w:rPr>
          <w:rFonts w:ascii="PMingLiU" w:cs="PMingLiU" w:eastAsia="PMingLiU" w:hAnsi="PMingLiU"/>
          <w:sz w:val="18"/>
          <w:szCs w:val="18"/>
          <w:color w:val="auto"/>
        </w:rPr>
        <w:t>）</w:t>
      </w:r>
      <w:r>
        <w:rPr>
          <w:rFonts w:ascii="Times New Roman" w:cs="Times New Roman" w:eastAsia="Times New Roman" w:hAnsi="Times New Roman"/>
          <w:sz w:val="18"/>
          <w:szCs w:val="18"/>
          <w:color w:val="auto"/>
        </w:rPr>
        <w:t>pts experienced PR as best response, with a median progression-free survival (PFS) of 25.7 months; among 6 patients with SDH-deficient paraganglioma, best responses were observed in 4 patients, with SD lasting≥4 cycles(CBR,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 and a median PFS of 8.25 months.</w:t>
      </w:r>
    </w:p>
    <w:p>
      <w:pPr>
        <w:spacing w:after="0" w:line="23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for the first time, revealed that olverembatinib inhibits fatty acid-promoted tumor cell migration by targeting the p38-CD36 pathway, providing a further insight on the mechanism of action of olverembatinib in SDH-deficient tumors.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A phase 3 study of olverembatinib (HQP1351) in patients with chronic-phase chronic myeloid leukemia: POLARIS-2 trial in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TPS6608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Malignancies—Leukemia, Myelodysplastic Syndromes, and Allotransplant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June 1, 2026, 9:00 a.m. - 12:00 p.m., Central Time (June 1, 2026, 10:00 p.m. -Tuesday June 2, 2026, 1:00 a.m., Beijing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Elias Jabbour, MD, Department of Leukemia, The University of Texas MD Anderson Cancer Center, 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FDA and EMA-cleared, global Phase III registrational clinical trial (POLARIS-2) is evaluating olverembatinib in patients with chronic-phase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CML</w:t>
      </w:r>
    </w:p>
    <w:p>
      <w:pPr>
        <w:spacing w:after="0" w:line="23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includes two independent cohorts. In Part A, patients with chronic-phase CML who have received at least two prior TKIs are randomized in a 2:1 ratio to receive olverembatinib or bosutinib; Part B is a single-arm study evaluating olverembatinib in patients harboring the T315I mutation. The primary endpoint for both parts is the MMR rate at or by 24 weeks.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 global multicenter, open-label, randomized, phase 3 registrational study of lisaftoclax (APG-2575) in previously treated chronic lymphocytic leukemia/small lymphocytic lymphoma (CLL/SLL): GLORA trial in progress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TPS7101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Malignancies—Lymphoma and Chronic Lymphocytic Leukemia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June 1, 2026, 9:00 a.m. - 12:00 p.m., Central Time (June 1, 2026, 10:00 p.m. -Tuesday June 2, 2026, 1:00 a.m., Beijing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Matthew Steven Davids, MD, Dana-Farber Cancer Institute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GLORA is a global, multicenter, open-label phase 3 registrational study.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aim of the study is to evaluate the efficacy and safety of lisaftoclax in combination with a BTK inhibitor in patients with CLL/SLL. Eligible patients have CLL/SLL and, after 12 months of BTKi monotherapy, have achieved neither complete response (CR) nor progressive disease (PD). The study plans to enroll approximately 440 patients across 126 centers in 18 countries and is currently enrolling.</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Olverembatinib, lisaftoclax and alrizomadlin are currently under investigation and have not yet been approved by the FDA in the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FDA-cleared registrational Phase III trial, called POLARIS-2, of olverembatinib for CML, as well as registrational Phase III trials for patients with newly diagnosed Ph+ ALL, called POLARIS-1, and SDH-deficient GIST patients, called POLARIS-3.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FDA-cleared GLORA-4 study in patients with newly diagnosed higher risk MDS.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left="1032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122555</wp:posOffset>
            </wp:positionV>
            <wp:extent cx="2160270" cy="685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02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ASCENTAGE PHARMA GROUP INTERNATIONAL</w:t>
      </w:r>
    </w:p>
    <w:p>
      <w:pPr>
        <w:spacing w:after="0" w:line="34"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VOLUNTARY ANNOUNCEMENT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ASCENTAGE PHARMA RELEASES LATEST CLINICAL DATA FROM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MULTIPLE TRIALS AT ASCO 2026</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Ascentage Pharma Group International (the “Company” or “Ascentage Pharma”) is pleased to announce that six abstracts from its clinical studies, selected for presentation at the 2026 American Society of Clinical Oncology (ASCO) Annual Meeting, are now available on ASCO’s official website. Three of the six studies have been selected for rapid oral presentations, and three as poster presentation. These abstracts report data from ongoing studies evaluating the company’s three lead drug candidates, including BCR-ABL inhibitor olverembatinib (HQP1351); Bcl-2 inhibitor lisaftoclax (APG-2575); and MDM2-p53 inhibitor alrizomadlin (APG-115).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year’s ASCO Annual Meeting will take place in person at McCormick Place in Chicago, IL, and online, from May 29, 2026 to June 2, 2026 (US local time). The ASCO Annual Meeting showcases cutting-edge research in clinical oncology and advanced cancer therapies and is the world’s largest gathering in the clinical oncology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clinical results from Ascentage Pharma’s abstracts selected for the 2026 ASCO Annual Meeting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Rapid Oral Presentations</w:t>
      </w:r>
    </w:p>
    <w:p>
      <w:pPr>
        <w:spacing w:after="0" w:line="2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Olverembatinib (HQP1351) combined with blinatumomab in patients with lymphoid blast phase chronic myeloid leukemia (CML-LBP) or Philadelphia chromosome-positive B-cell precursor acute lymphoblastic leukemia (Ph+ BCP-ALL)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Abstract number: </w:t>
      </w:r>
      <w:r>
        <w:rPr>
          <w:rFonts w:ascii="Times New Roman" w:cs="Times New Roman" w:eastAsia="Times New Roman" w:hAnsi="Times New Roman"/>
          <w:sz w:val="22"/>
          <w:szCs w:val="22"/>
          <w:color w:val="auto"/>
        </w:rPr>
        <w:t>6513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Hematologic Malignancies – Leukemia, Myelodysplastic Syndromes, and Allotransplant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May 30, 2026, 1:51 - 1:57 p.m., US Central Time (May 31, 2026, 2:51 - 2:57 a.m., Beijing Time)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Elias Jabbour, MD, Department of Leukemia, The University of Texas MD Anderson Cancer Center, 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multicenter, open-label phase Ib study evaluated the combination of olverembatinib and blinatumomab in patients with relapsed/refractory (R/R) Ph+ BCP-ALL or CML-LBP.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five patients with measurable residual disease (MRD) positivity and no complete response (CR) at study entry, four achieved CR, and two achieved MRD negativity, with an overall manageable safety profile.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provides initial clinical evidence supporting the feasibility of combining olverembatinib with immunotherapy in patients with CML-LBP and R/R Ph+ BCP-ALL in an international patient population.</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(HQP1351) as second-line therapy in patients with chronic-phase chronic myeloid leukemia (CP-CML)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Abstract number: </w:t>
      </w:r>
      <w:r>
        <w:rPr>
          <w:rFonts w:ascii="Times New Roman" w:cs="Times New Roman" w:eastAsia="Times New Roman" w:hAnsi="Times New Roman"/>
          <w:sz w:val="22"/>
          <w:szCs w:val="22"/>
          <w:color w:val="auto"/>
        </w:rPr>
        <w:t>6510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Hematologic Malignancies – Leukemia, Myelodysplastic Syndromes, and Allotransplant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May 30, 2026, 1:21 - 1:27 p.m., US Central Time (May 31, 2026, 2:21 - 2:27 a.m., Beijing Time)</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First Author: </w:t>
      </w:r>
      <w:r>
        <w:rPr>
          <w:rFonts w:ascii="Times New Roman" w:cs="Times New Roman" w:eastAsia="Times New Roman" w:hAnsi="Times New Roman"/>
          <w:sz w:val="22"/>
          <w:szCs w:val="22"/>
          <w:color w:val="auto"/>
        </w:rPr>
        <w:t>Weiming Li, MD, Department of Hematology, Union Hospital, Tongji Medical College, Huazhong University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Science and Technology, Wuhan, China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46" w:lineRule="exact"/>
        <w:rPr>
          <w:sz w:val="20"/>
          <w:szCs w:val="20"/>
          <w:color w:val="auto"/>
        </w:rPr>
      </w:pPr>
    </w:p>
    <w:p>
      <w:pPr>
        <w:ind w:left="66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single-arm, multicenter, open-label study conducted in China, evaluating the efficacy and safety of olverembatinib as a second-line therapy in patients with CP-CML.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42 evaluable patients, at cycle 24, the complete cytogenetic response (CCyR) rate reached 91.3%, and the major molecular response (MMR) rate reached 60.9%. Among 32 patients who failed first-line second-generation TKIs, 81.3% achieved CCyR and 50% achieved MMR, with a favorable safety profile.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Olverembatinib shows good tolerability and leads to high MMR and CCyR in patients with CP – CML without T315I mutation that isresistant/intolerant to first-line TKls.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Alrizomadlin (APG-115) alone or in combination with lisaftoclax (APG-2575) for the treatment of pediatric patients with relapsed/metastatic rhabdomyosarcoma (RMS) or other soft-tissue sarcomas (STSs)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10012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Pediatric Oncology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May 30, 2026, 8:00 - 8:06 a.m., US Central Time (May 30, 2026, 9:00 - 9:06 p.m., Beijing Time)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Yizhuo Zhang, MD, Department of Pediatric Oncology, Sun Yat-sen University Cancer Center, State Key Laboratory of Oncology in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 Collaborative Innovation Center for Cancer Medicine, Guangzhou,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multicenter clinical trial conducted in China, evaluating the safety and preliminary efficacy of alrizomadlin (APG-115) as monotherapy or in combination with lisaftoclax (APG-2575) in heavily pretreated pediatric patients with neuroblastoma (NB), as well as relapsed/metastatic rhabdomyosarcoma (RMS), Ewing sarcoma (EWS), and other soft-tissue sarcomas (STSs).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showed that no dose-limiting toxicities (DLT) were observed in either monotherapy or combination groups. Adverse events were mainly gastrointestinal and hematologic, with few serious adverse events, and no treatment-related deaths or discontinuations. In terms of clinical benefit, one patient with refractory RMS in the monotherapy group achieved CR; in the combination group, the objective response rate (ORR) was 30% and the disease control rate (DCR) was 80%.</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regimen demonstrated a manageable safety profile and preliminary antitumor activity in pediatric solid tumors, warranting further investigation.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Poster Presentations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clinical and translational results of olverembatinib (HQP1351) in patients with succinate dehydrogenase (SDH)-deficient tumors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Abstract number: </w:t>
      </w:r>
      <w:r>
        <w:rPr>
          <w:rFonts w:ascii="Times New Roman" w:cs="Times New Roman" w:eastAsia="Times New Roman" w:hAnsi="Times New Roman"/>
          <w:sz w:val="22"/>
          <w:szCs w:val="22"/>
          <w:color w:val="auto"/>
        </w:rPr>
        <w:t>11539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Sarcoma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June 1, 2026, 1:30 - 4:30 p.m., US Central Time (June 2, 2026, 2:30 - 5:30 a.m., Beijing Time)</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First Author: </w:t>
      </w:r>
      <w:r>
        <w:rPr>
          <w:rFonts w:ascii="Times New Roman" w:cs="Times New Roman" w:eastAsia="Times New Roman" w:hAnsi="Times New Roman"/>
          <w:sz w:val="22"/>
          <w:szCs w:val="22"/>
          <w:color w:val="auto"/>
        </w:rPr>
        <w:t>Haibo Qiu, MD, PhD, Sun Yat-sen University Cancer Center; State Key Laboratory of Oncology in South China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Collaborative Innovation Center for Cancer Medicine, Sun Yat-sen University Cancer Center, Guangzhou, China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in SDH-deficient tumors evaluated the efficacy of olverembatinib in patients with SDH-deficient gastrointestinal stromal tumors (GIST) and paraganglioma.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26 patients with SDH-deficient GIST, 6(23.1%)pts experienced PR as best response, with a median progression-free survival (PFS) of 25.7 months; among 6 patients with SDH-deficient paraganglioma, best responses were observed in 4 patients, with SD lasting≥4 cycles(CBR,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 and a median PFS of 8.25 months.</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study, for the first time, revealed that olverembatinib inhibits fatty acid-promoted tumor cell migration by targeting the p38-CD36 pathway, providing a further insight on the mechanism of action of olverembatinib in SDH-deficient tumors.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phase 3 study of olverembatinib (HQP1351) in patients with chronic-phase chronic myeloid leukemia: POLARIS-2 trial in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TPS6608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 – Leukemia, Myelodysplastic Syndromes, and Allotransplant</w:t>
      </w:r>
    </w:p>
    <w:p>
      <w:pPr>
        <w:spacing w:after="0" w:line="2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June 1, 2026, 9:00 a.m. - 12:00 p.m., US Central Time (June 1, 2026, 10:00 p.m. - June 2, 2026, 1:00 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Beijing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First Author: </w:t>
      </w:r>
      <w:r>
        <w:rPr>
          <w:rFonts w:ascii="Times New Roman" w:cs="Times New Roman" w:eastAsia="Times New Roman" w:hAnsi="Times New Roman"/>
          <w:sz w:val="21"/>
          <w:szCs w:val="21"/>
          <w:color w:val="auto"/>
        </w:rPr>
        <w:t>Elias Jabbour, MD, Department of Leukemia, The University of Texas MD Anderson Cancer Center, Houston, TX</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46"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FDA and EMA-cleared, global Phase III registrational clinical trial (POLARIS-2) is evaluating olverembatinib in patients with chronic-phase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CML</w:t>
      </w:r>
    </w:p>
    <w:p>
      <w:pPr>
        <w:spacing w:after="0" w:line="23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includes two independent cohorts. In Part A, patients with chronic-phase CML who have received at least two prior TKIs are randomized in a 2:1 ratio to receive olverembatinib or bosutinib; Part B is a single-arm study evaluating olverembatinib in patients harboring the T315I mutation. The primary endpoint for both parts is the MMR rate at or by 24 weeks.</w:t>
      </w:r>
    </w:p>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A global multicenter, open-label, randomized, phase 3 registrational study of lisaftoclax (APG-2575) in previously treated chronic lymphocytic leukemia/small lymphocytic lymphoma (CLL/SLL): GLORA trial in progress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Abstract number: </w:t>
      </w:r>
      <w:r>
        <w:rPr>
          <w:rFonts w:ascii="Times New Roman" w:cs="Times New Roman" w:eastAsia="Times New Roman" w:hAnsi="Times New Roman"/>
          <w:sz w:val="22"/>
          <w:szCs w:val="22"/>
          <w:color w:val="auto"/>
        </w:rPr>
        <w:t>TPS7101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Hematologic Malignancies – Lymphoma and Chronic Lymphocytic Leukemia</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June 1, 2026, 9:00 a.m. - 12:00 p.m., US Central Time (June 1, 2026, 10:00 p.m. - June 2, 2026, 1:00 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Beijing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First Author: </w:t>
      </w:r>
      <w:r>
        <w:rPr>
          <w:rFonts w:ascii="Times New Roman" w:cs="Times New Roman" w:eastAsia="Times New Roman" w:hAnsi="Times New Roman"/>
          <w:sz w:val="22"/>
          <w:szCs w:val="22"/>
          <w:color w:val="auto"/>
        </w:rPr>
        <w:t>Matthew Steven Davids, MD, Dana-Farber Cancer Institute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GLORA is a global, multicenter, open-label phase 3 registrational study.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aim of the study is to evaluate the efficacy and safety of lisaftoclax in combination with a BTK inhibitor in patients with CLL/SLL. Eligible patients have CLL/SLL and, after 12 months of BTKi monotherapy, have achieved neither complete response (CR) nor progressive disease (PD). The study plans to enroll approximately 440 patients across 126 centers in 18 countries and is currently enrolling.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required by Rule 18A.05 of the Rules Governing the Listing of Securities on The Stock Exchange of Hong Kong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ultimately develop and market alrizomadlin (APG-115) successfully.</w:t>
      </w:r>
    </w:p>
    <w:p>
      <w:pPr>
        <w:spacing w:after="0" w:line="20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Ascentage Pharma Group</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International Dr. Yang Dajun</w:t>
      </w:r>
    </w:p>
    <w:p>
      <w:pPr>
        <w:spacing w:after="0" w:line="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May 22,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DazhongNote1 as non-executive Directors, and Mr. Ye Changqing, Mr. Ren Wei, Dr. David SidranskyNote2, Ms. Marina S. Bozilenko, Dr. Debra Yu and Dr. Marc E. Lippman, MD as independent non-executive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right="20" w:hanging="332"/>
        <w:spacing w:after="0" w:line="284" w:lineRule="auto"/>
        <w:tabs>
          <w:tab w:leader="none" w:pos="340" w:val="left"/>
        </w:tabs>
        <w:numPr>
          <w:ilvl w:val="0"/>
          <w:numId w:val="1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decimal"/>
      <w:start w:val="1"/>
    </w:lvl>
  </w:abstractNum>
  <w:abstractNum w:abstractNumId="2">
    <w:nsid w:val="100F8FCA"/>
    <w:multiLevelType w:val="hybridMultilevel"/>
    <w:lvl w:ilvl="0">
      <w:lvlJc w:val="left"/>
      <w:lvlText w:val="%1."/>
      <w:numFmt w:val="decimal"/>
      <w:start w:val="1"/>
    </w:lvl>
    <w:lvl w:ilvl="1">
      <w:lvlJc w:val="left"/>
      <w:lvlText w:val="(%2)"/>
      <w:numFmt w:val="lowerLetter"/>
      <w:start w:val="1"/>
    </w:lvl>
  </w:abstractNum>
  <w:abstractNum w:abstractNumId="3">
    <w:nsid w:val="6590700B"/>
    <w:multiLevelType w:val="hybridMultilevel"/>
    <w:lvl w:ilvl="0">
      <w:lvlJc w:val="left"/>
      <w:lvlText w:val="(%1)"/>
      <w:numFmt w:val="lowerLetter"/>
      <w:start w:val="5"/>
    </w:lvl>
  </w:abstractNum>
  <w:abstractNum w:abstractNumId="4">
    <w:nsid w:val="15014ACB"/>
    <w:multiLevelType w:val="hybridMultilevel"/>
    <w:lvl w:ilvl="0">
      <w:lvlJc w:val="left"/>
      <w:lvlText w:val="%1"/>
      <w:numFmt w:val="decimal"/>
      <w:start w:val="1"/>
    </w:lvl>
    <w:lvl w:ilvl="1">
      <w:lvlJc w:val="left"/>
      <w:lvlText w:val="(%2)"/>
      <w:numFmt w:val="lowerLetter"/>
      <w:start w:val="15"/>
    </w:lvl>
  </w:abstractNum>
  <w:abstractNum w:abstractNumId="5">
    <w:nsid w:val="5F5E7FD0"/>
    <w:multiLevelType w:val="hybridMultilevel"/>
    <w:lvl w:ilvl="0">
      <w:lvlJc w:val="left"/>
      <w:lvlText w:val="%1."/>
      <w:numFmt w:val="decimal"/>
      <w:start w:val="5"/>
    </w:lvl>
    <w:lvl w:ilvl="1">
      <w:lvlJc w:val="left"/>
      <w:lvlText w:val="%2"/>
      <w:numFmt w:val="lowerLetter"/>
      <w:start w:val="1"/>
    </w:lvl>
  </w:abstractNum>
  <w:abstractNum w:abstractNumId="6">
    <w:nsid w:val="98A3148"/>
    <w:multiLevelType w:val="hybridMultilevel"/>
    <w:lvl w:ilvl="0">
      <w:lvlJc w:val="left"/>
      <w:lvlText w:val="%1."/>
      <w:numFmt w:val="decimal"/>
      <w:start w:val="1"/>
    </w:lvl>
    <w:lvl w:ilvl="1">
      <w:lvlJc w:val="left"/>
      <w:lvlText w:val="(%2)"/>
      <w:numFmt w:val="lowerLetter"/>
      <w:start w:val="1"/>
    </w:lvl>
  </w:abstractNum>
  <w:abstractNum w:abstractNumId="7">
    <w:nsid w:val="799D0247"/>
    <w:multiLevelType w:val="hybridMultilevel"/>
    <w:lvl w:ilvl="0">
      <w:lvlJc w:val="left"/>
      <w:lvlText w:val="(%1)"/>
      <w:numFmt w:val="lowerLetter"/>
      <w:start w:val="1"/>
    </w:lvl>
  </w:abstractNum>
  <w:abstractNum w:abstractNumId="8">
    <w:nsid w:val="6B94764"/>
    <w:multiLevelType w:val="hybridMultilevel"/>
    <w:lvl w:ilvl="0">
      <w:lvlJc w:val="left"/>
      <w:lvlText w:val="(%1)"/>
      <w:numFmt w:val="lowerLetter"/>
      <w:start w:val="2"/>
    </w:lvl>
    <w:lvl w:ilvl="1">
      <w:lvlJc w:val="left"/>
      <w:lvlText w:val="(%2)"/>
      <w:numFmt w:val="lowerRoman"/>
      <w:start w:val="1"/>
    </w:lvl>
  </w:abstractNum>
  <w:abstractNum w:abstractNumId="9">
    <w:nsid w:val="42C296BD"/>
    <w:multiLevelType w:val="hybridMultilevel"/>
    <w:lvl w:ilvl="0">
      <w:lvlJc w:val="left"/>
      <w:lvlText w:val="(%1)"/>
      <w:numFmt w:val="lowerRoman"/>
      <w:start w:val="3"/>
    </w:lvl>
  </w:abstractNum>
  <w:abstractNum w:abstractNumId="10">
    <w:nsid w:val="168E121F"/>
    <w:multiLevelType w:val="hybridMultilevel"/>
    <w:lvl w:ilvl="0">
      <w:lvlJc w:val="left"/>
      <w:lvlText w:val="%1"/>
      <w:numFmt w:val="lowerLetter"/>
      <w:start w:val="1"/>
    </w:lvl>
    <w:lvl w:ilvl="1">
      <w:lvlJc w:val="left"/>
      <w:lvlText w:val="(%2)"/>
      <w:numFmt w:val="lowerRoman"/>
      <w:start w:val="12"/>
    </w:lvl>
  </w:abstractNum>
  <w:abstractNum w:abstractNumId="11">
    <w:nsid w:val="1EBA5D23"/>
    <w:multiLevelType w:val="hybridMultilevel"/>
    <w:lvl w:ilvl="0">
      <w:lvlJc w:val="left"/>
      <w:lvlText w:val="(%1)"/>
      <w:numFmt w:val="lowerLetter"/>
      <w:start w:val="3"/>
    </w:lvl>
    <w:lvl w:ilvl="1">
      <w:lvlJc w:val="left"/>
      <w:lvlText w:val="(%2)"/>
      <w:numFmt w:val="lowerRoman"/>
      <w:start w:val="1"/>
    </w:lvl>
  </w:abstractNum>
  <w:abstractNum w:abstractNumId="12">
    <w:nsid w:val="661E3F1E"/>
    <w:multiLevelType w:val="hybridMultilevel"/>
    <w:lvl w:ilvl="0">
      <w:lvlJc w:val="left"/>
      <w:lvlText w:val="%1"/>
      <w:numFmt w:val="decimal"/>
      <w:start w:val="1"/>
    </w:lvl>
    <w:lvl w:ilvl="1">
      <w:lvlJc w:val="left"/>
      <w:lvlText w:val="(%2)"/>
      <w:numFmt w:val="lowerLetter"/>
      <w:start w:val="4"/>
    </w:lvl>
  </w:abstractNum>
  <w:abstractNum w:abstractNumId="13">
    <w:nsid w:val="5DC79EA8"/>
    <w:multiLevelType w:val="hybridMultilevel"/>
    <w:lvl w:ilvl="0">
      <w:lvlJc w:val="left"/>
      <w:lvlText w:val="%1."/>
      <w:numFmt w:val="decimal"/>
      <w:start w:val="2"/>
    </w:lvl>
    <w:lvl w:ilvl="1">
      <w:lvlJc w:val="left"/>
      <w:lvlText w:val="%2"/>
      <w:numFmt w:val="lowerLetter"/>
      <w:start w:val="1"/>
    </w:lvl>
  </w:abstractNum>
  <w:abstractNum w:abstractNumId="14">
    <w:nsid w:val="540A471C"/>
    <w:multiLevelType w:val="hybridMultilevel"/>
    <w:lvl w:ilvl="0">
      <w:lvlJc w:val="left"/>
      <w:lvlText w:val="%1."/>
      <w:numFmt w:val="decimal"/>
      <w:start w:val="3"/>
    </w:lvl>
    <w:lvl w:ilvl="1">
      <w:lvlJc w:val="left"/>
      <w:lvlText w:val="(%2)"/>
      <w:numFmt w:val="lowerLetter"/>
      <w:start w:val="2"/>
    </w:lvl>
  </w:abstractNum>
  <w:abstractNum w:abstractNumId="15">
    <w:nsid w:val="7BD3EE7B"/>
    <w:multiLevelType w:val="hybridMultilevel"/>
    <w:lvl w:ilvl="0">
      <w:lvlJc w:val="left"/>
      <w:lvlText w:val="%1"/>
      <w:numFmt w:val="decimal"/>
      <w:start w:val="1"/>
    </w:lvl>
    <w:lvl w:ilvl="1">
      <w:lvlJc w:val="left"/>
      <w:lvlText w:val="(%2)"/>
      <w:numFmt w:val="lowerLetter"/>
      <w:start w:val="3"/>
    </w:lvl>
  </w:abstractNum>
  <w:abstractNum w:abstractNumId="16">
    <w:nsid w:val="51D9C564"/>
    <w:multiLevelType w:val="hybridMultilevel"/>
    <w:lvl w:ilvl="0">
      <w:lvlJc w:val="left"/>
      <w:lvlText w:val="%1."/>
      <w:numFmt w:val="decimal"/>
      <w:start w:val="6"/>
    </w:lvl>
    <w:lvl w:ilvl="1">
      <w:lvlJc w:val="left"/>
      <w:lvlText w:val="(%2)"/>
      <w:numFmt w:val="lowerLetter"/>
      <w:start w:val="2"/>
    </w:lvl>
  </w:abstractNum>
  <w:abstractNum w:abstractNumId="17">
    <w:nsid w:val="613EFDC5"/>
    <w:multiLevelType w:val="hybridMultilevel"/>
    <w:lvl w:ilvl="0">
      <w:lvlJc w:val="left"/>
      <w:lvlText w:val="%1."/>
      <w:numFmt w:val="decimal"/>
      <w:start w:val="12"/>
    </w:lvl>
    <w:lvl w:ilvl="1">
      <w:lvlJc w:val="left"/>
      <w:lvlText w:val="(%2)"/>
      <w:numFmt w:val="lowerLetter"/>
      <w:start w:val="2"/>
    </w:lvl>
  </w:abstractNum>
  <w:abstractNum w:abstractNumId="18">
    <w:nsid w:val="BF72B14"/>
    <w:multiLevelType w:val="hybridMultilevel"/>
    <w:lvl w:ilvl="0">
      <w:lvlJc w:val="left"/>
      <w:lvlText w:val="%1"/>
      <w:numFmt w:val="decimal"/>
      <w:start w:val="1"/>
    </w:lvl>
    <w:lvl w:ilvl="1">
      <w:lvlJc w:val="left"/>
      <w:lvlText w:val="(%2)"/>
      <w:numFmt w:val="lowerLetter"/>
      <w:start w:val="1"/>
    </w:lvl>
  </w:abstractNum>
  <w:abstractNum w:abstractNumId="19">
    <w:nsid w:val="11447B73"/>
    <w:multiLevelType w:val="hybridMultilevel"/>
    <w:lvl w:ilvl="0">
      <w:lvlJc w:val="left"/>
      <w:lvlText w:val="%1"/>
      <w:numFmt w:val="decimal"/>
      <w:start w:val="1"/>
    </w:lvl>
    <w:lvl w:ilvl="1">
      <w:lvlJc w:val="left"/>
      <w:lvlText w:val="(%2)"/>
      <w:numFmt w:val="lowerLetter"/>
      <w:start w:val="5"/>
    </w:lvl>
  </w:abstractNum>
  <w:abstractNum w:abstractNumId="20">
    <w:nsid w:val="42963E5A"/>
    <w:multiLevelType w:val="hybridMultilevel"/>
    <w:lvl w:ilvl="0">
      <w:lvlJc w:val="left"/>
      <w:lvlText w:val="%1."/>
      <w:numFmt w:val="decimal"/>
      <w:start w:val="14"/>
    </w:lvl>
    <w:lvl w:ilvl="1">
      <w:lvlJc w:val="left"/>
      <w:lvlText w:val="(%2)"/>
      <w:numFmt w:val="lowerLetter"/>
      <w:start w:val="2"/>
    </w:lvl>
  </w:abstractNum>
  <w:abstractNum w:abstractNumId="21">
    <w:nsid w:val="A0382C5"/>
    <w:multiLevelType w:val="hybridMultilevel"/>
    <w:lvl w:ilvl="0">
      <w:lvlJc w:val="left"/>
      <w:lvlText w:val="(%1)"/>
      <w:numFmt w:val="lowerLetter"/>
      <w:start w:val="3"/>
    </w:lvl>
  </w:abstractNum>
  <w:abstractNum w:abstractNumId="22">
    <w:nsid w:val="8F2B15E"/>
    <w:multiLevelType w:val="hybridMultilevel"/>
    <w:lvl w:ilvl="0">
      <w:lvlJc w:val="left"/>
      <w:lvlText w:val="%1."/>
      <w:numFmt w:val="decimal"/>
      <w:start w:val="16"/>
    </w:lvl>
    <w:lvl w:ilvl="1">
      <w:lvlJc w:val="left"/>
      <w:lvlText w:val="(%2)"/>
      <w:numFmt w:val="lowerLetter"/>
      <w:start w:val="2"/>
    </w:lvl>
  </w:abstractNum>
  <w:abstractNum w:abstractNumId="23">
    <w:nsid w:val="1A32234B"/>
    <w:multiLevelType w:val="hybridMultilevel"/>
    <w:lvl w:ilvl="0">
      <w:lvlJc w:val="left"/>
      <w:lvlText w:val="%1"/>
      <w:numFmt w:val="decimal"/>
      <w:start w:val="1"/>
    </w:lvl>
    <w:lvl w:ilvl="1">
      <w:lvlJc w:val="left"/>
      <w:lvlText w:val="(%2)"/>
      <w:numFmt w:val="lowerLetter"/>
      <w:start w:val="2"/>
    </w:lvl>
  </w:abstractNum>
  <w:abstractNum w:abstractNumId="24">
    <w:nsid w:val="3B0FD379"/>
    <w:multiLevelType w:val="hybridMultilevel"/>
    <w:lvl w:ilvl="0">
      <w:lvlJc w:val="left"/>
      <w:lvlText w:val="%1."/>
      <w:numFmt w:val="decimal"/>
      <w:start w:val="19"/>
    </w:lvl>
    <w:lvl w:ilvl="1">
      <w:lvlJc w:val="left"/>
      <w:lvlText w:val="(%2)"/>
      <w:numFmt w:val="lowerLetter"/>
      <w:start w:val="2"/>
    </w:lvl>
  </w:abstractNum>
  <w:abstractNum w:abstractNumId="25">
    <w:nsid w:val="68EB2F63"/>
    <w:multiLevelType w:val="hybridMultilevel"/>
    <w:lvl w:ilvl="0">
      <w:lvlJc w:val="left"/>
      <w:lvlText w:val="%1."/>
      <w:numFmt w:val="decimal"/>
      <w:start w:val="23"/>
    </w:lvl>
  </w:abstractNum>
  <w:abstractNum w:abstractNumId="26">
    <w:nsid w:val="4962813B"/>
    <w:multiLevelType w:val="hybridMultilevel"/>
    <w:lvl w:ilvl="0">
      <w:lvlJc w:val="left"/>
      <w:lvlText w:val="%1."/>
      <w:numFmt w:val="decimal"/>
      <w:start w:val="26"/>
    </w:lvl>
  </w:abstractNum>
  <w:abstractNum w:abstractNumId="27">
    <w:nsid w:val="60B6DF70"/>
    <w:multiLevelType w:val="hybridMultilevel"/>
    <w:lvl w:ilvl="0">
      <w:lvlJc w:val="left"/>
      <w:lvlText w:val="%1."/>
      <w:numFmt w:val="decimal"/>
      <w:start w:val="27"/>
    </w:lvl>
  </w:abstractNum>
  <w:abstractNum w:abstractNumId="28">
    <w:nsid w:val="6A5EE64"/>
    <w:multiLevelType w:val="hybridMultilevel"/>
    <w:lvl w:ilvl="0">
      <w:lvlJc w:val="left"/>
      <w:lvlText w:val="%1."/>
      <w:numFmt w:val="decimal"/>
      <w:start w:val="37"/>
    </w:lvl>
    <w:lvl w:ilvl="1">
      <w:lvlJc w:val="left"/>
      <w:lvlText w:val="(%2)"/>
      <w:numFmt w:val="lowerLetter"/>
      <w:start w:val="2"/>
    </w:lvl>
  </w:abstractNum>
  <w:abstractNum w:abstractNumId="29">
    <w:nsid w:val="14330624"/>
    <w:multiLevelType w:val="hybridMultilevel"/>
    <w:lvl w:ilvl="0">
      <w:lvlJc w:val="left"/>
      <w:lvlText w:val="%1."/>
      <w:numFmt w:val="decimal"/>
      <w:start w:val="39"/>
    </w:lvl>
    <w:lvl w:ilvl="1">
      <w:lvlJc w:val="left"/>
      <w:lvlText w:val="(%2)"/>
      <w:numFmt w:val="lowerLetter"/>
      <w:start w:val="2"/>
    </w:lvl>
  </w:abstractNum>
  <w:abstractNum w:abstractNumId="30">
    <w:nsid w:val="7FFFCA11"/>
    <w:multiLevelType w:val="hybridMultilevel"/>
    <w:lvl w:ilvl="0">
      <w:lvlJc w:val="left"/>
      <w:lvlText w:val="%1"/>
      <w:numFmt w:val="decimal"/>
      <w:start w:val="1"/>
    </w:lvl>
    <w:lvl w:ilvl="1">
      <w:lvlJc w:val="left"/>
      <w:lvlText w:val="(%2)"/>
      <w:numFmt w:val="lowerLetter"/>
      <w:start w:val="3"/>
    </w:lvl>
  </w:abstractNum>
  <w:abstractNum w:abstractNumId="31">
    <w:nsid w:val="1A27709E"/>
    <w:multiLevelType w:val="hybridMultilevel"/>
    <w:lvl w:ilvl="0">
      <w:lvlJc w:val="left"/>
      <w:lvlText w:val="%1."/>
      <w:numFmt w:val="decimal"/>
      <w:start w:val="42"/>
    </w:lvl>
    <w:lvl w:ilvl="1">
      <w:lvlJc w:val="left"/>
      <w:lvlText w:val="(%2)"/>
      <w:numFmt w:val="lowerLetter"/>
      <w:start w:val="1"/>
    </w:lvl>
  </w:abstractNum>
  <w:abstractNum w:abstractNumId="32">
    <w:nsid w:val="71EA1109"/>
    <w:multiLevelType w:val="hybridMultilevel"/>
    <w:lvl w:ilvl="0">
      <w:lvlJc w:val="left"/>
      <w:lvlText w:val="%1."/>
      <w:numFmt w:val="decimal"/>
      <w:start w:val="48"/>
    </w:lvl>
  </w:abstractNum>
  <w:abstractNum w:abstractNumId="33">
    <w:nsid w:val="100F59DC"/>
    <w:multiLevelType w:val="hybridMultilevel"/>
    <w:lvl w:ilvl="0">
      <w:lvlJc w:val="left"/>
      <w:lvlText w:val="%1."/>
      <w:numFmt w:val="decimal"/>
      <w:start w:val="52"/>
    </w:lvl>
  </w:abstractNum>
  <w:abstractNum w:abstractNumId="34">
    <w:nsid w:val="7FB7E0AA"/>
    <w:multiLevelType w:val="hybridMultilevel"/>
    <w:lvl w:ilvl="0">
      <w:lvlJc w:val="left"/>
      <w:lvlText w:val="%1."/>
      <w:numFmt w:val="decimal"/>
      <w:start w:val="54"/>
    </w:lvl>
  </w:abstractNum>
  <w:abstractNum w:abstractNumId="35">
    <w:nsid w:val="6EB5BD4"/>
    <w:multiLevelType w:val="hybridMultilevel"/>
    <w:lvl w:ilvl="0">
      <w:lvlJc w:val="left"/>
      <w:lvlText w:val="%1."/>
      <w:numFmt w:val="decimal"/>
      <w:start w:val="60"/>
    </w:lvl>
    <w:lvl w:ilvl="1">
      <w:lvlJc w:val="left"/>
      <w:lvlText w:val="(%2)"/>
      <w:numFmt w:val="lowerLetter"/>
      <w:start w:val="2"/>
    </w:lvl>
  </w:abstractNum>
  <w:abstractNum w:abstractNumId="36">
    <w:nsid w:val="6F6DD9AC"/>
    <w:multiLevelType w:val="hybridMultilevel"/>
    <w:lvl w:ilvl="0">
      <w:lvlJc w:val="left"/>
      <w:lvlText w:val="%1."/>
      <w:numFmt w:val="decimal"/>
      <w:start w:val="62"/>
    </w:lvl>
    <w:lvl w:ilvl="1">
      <w:lvlJc w:val="left"/>
      <w:lvlText w:val="(%2)"/>
      <w:numFmt w:val="lowerLetter"/>
      <w:start w:val="1"/>
    </w:lvl>
  </w:abstractNum>
  <w:abstractNum w:abstractNumId="37">
    <w:nsid w:val="94211F2"/>
    <w:multiLevelType w:val="hybridMultilevel"/>
    <w:lvl w:ilvl="0">
      <w:lvlJc w:val="left"/>
      <w:lvlText w:val="%1."/>
      <w:numFmt w:val="decimal"/>
      <w:start w:val="66"/>
    </w:lvl>
  </w:abstractNum>
  <w:abstractNum w:abstractNumId="38">
    <w:nsid w:val="885E1B"/>
    <w:multiLevelType w:val="hybridMultilevel"/>
    <w:lvl w:ilvl="0">
      <w:lvlJc w:val="left"/>
      <w:lvlText w:val="%1."/>
      <w:numFmt w:val="decimal"/>
      <w:start w:val="67"/>
    </w:lvl>
    <w:lvl w:ilvl="1">
      <w:lvlJc w:val="left"/>
      <w:lvlText w:val="(%2)"/>
      <w:numFmt w:val="lowerLetter"/>
      <w:start w:val="9"/>
    </w:lvl>
  </w:abstractNum>
  <w:abstractNum w:abstractNumId="39">
    <w:nsid w:val="76272110"/>
    <w:multiLevelType w:val="hybridMultilevel"/>
    <w:lvl w:ilvl="0">
      <w:lvlJc w:val="left"/>
      <w:lvlText w:val="%1"/>
      <w:numFmt w:val="decimal"/>
      <w:start w:val="1"/>
    </w:lvl>
    <w:lvl w:ilvl="1">
      <w:lvlJc w:val="left"/>
      <w:lvlText w:val="(%2)"/>
      <w:numFmt w:val="lowerLetter"/>
      <w:start w:val="1"/>
    </w:lvl>
  </w:abstractNum>
  <w:abstractNum w:abstractNumId="40">
    <w:nsid w:val="4C04A8AF"/>
    <w:multiLevelType w:val="hybridMultilevel"/>
    <w:lvl w:ilvl="0">
      <w:lvlJc w:val="left"/>
      <w:lvlText w:val="%1."/>
      <w:numFmt w:val="decimal"/>
      <w:start w:val="69"/>
    </w:lvl>
    <w:lvl w:ilvl="1">
      <w:lvlJc w:val="left"/>
      <w:lvlText w:val="(%2)"/>
      <w:numFmt w:val="lowerLetter"/>
      <w:start w:val="2"/>
    </w:lvl>
    <w:lvl w:ilvl="2">
      <w:lvlJc w:val="left"/>
      <w:lvlText w:val="(%3)"/>
      <w:numFmt w:val="lowerLetter"/>
      <w:start w:val="1"/>
    </w:lvl>
  </w:abstractNum>
  <w:abstractNum w:abstractNumId="41">
    <w:nsid w:val="1716703B"/>
    <w:multiLevelType w:val="hybridMultilevel"/>
    <w:lvl w:ilvl="0">
      <w:lvlJc w:val="left"/>
      <w:lvlText w:val="%1."/>
      <w:numFmt w:val="decimal"/>
      <w:start w:val="71"/>
    </w:lvl>
  </w:abstractNum>
  <w:abstractNum w:abstractNumId="42">
    <w:nsid w:val="14E17E33"/>
    <w:multiLevelType w:val="hybridMultilevel"/>
    <w:lvl w:ilvl="0">
      <w:lvlJc w:val="left"/>
      <w:lvlText w:val="%1."/>
      <w:numFmt w:val="decimal"/>
      <w:start w:val="73"/>
    </w:lvl>
    <w:lvl w:ilvl="1">
      <w:lvlJc w:val="left"/>
      <w:lvlText w:val="(%2)"/>
      <w:numFmt w:val="lowerLetter"/>
      <w:start w:val="1"/>
    </w:lvl>
  </w:abstractNum>
  <w:abstractNum w:abstractNumId="43">
    <w:nsid w:val="3222E7CD"/>
    <w:multiLevelType w:val="hybridMultilevel"/>
    <w:lvl w:ilvl="0">
      <w:lvlJc w:val="left"/>
      <w:lvlText w:val="%1."/>
      <w:numFmt w:val="decimal"/>
      <w:start w:val="77"/>
    </w:lvl>
  </w:abstractNum>
  <w:abstractNum w:abstractNumId="44">
    <w:nsid w:val="74DE0EE3"/>
    <w:multiLevelType w:val="hybridMultilevel"/>
    <w:lvl w:ilvl="0">
      <w:lvlJc w:val="left"/>
      <w:lvlText w:val="(%1)"/>
      <w:numFmt w:val="lowerLetter"/>
      <w:start w:val="2"/>
    </w:lvl>
  </w:abstractNum>
  <w:abstractNum w:abstractNumId="45">
    <w:nsid w:val="68EBC550"/>
    <w:multiLevelType w:val="hybridMultilevel"/>
    <w:lvl w:ilvl="0">
      <w:lvlJc w:val="left"/>
      <w:lvlText w:val="%1."/>
      <w:numFmt w:val="decimal"/>
      <w:start w:val="78"/>
    </w:lvl>
    <w:lvl w:ilvl="1">
      <w:lvlJc w:val="left"/>
      <w:lvlText w:val="(%2)"/>
      <w:numFmt w:val="lowerLetter"/>
      <w:start w:val="1"/>
    </w:lvl>
  </w:abstractNum>
  <w:abstractNum w:abstractNumId="46">
    <w:nsid w:val="2DF6D648"/>
    <w:multiLevelType w:val="hybridMultilevel"/>
    <w:lvl w:ilvl="0">
      <w:lvlJc w:val="left"/>
      <w:lvlText w:val="%1."/>
      <w:numFmt w:val="decimal"/>
      <w:start w:val="81"/>
    </w:lvl>
    <w:lvl w:ilvl="1">
      <w:lvlJc w:val="left"/>
      <w:lvlText w:val="(%2)"/>
      <w:numFmt w:val="lowerLetter"/>
      <w:start w:val="1"/>
    </w:lvl>
  </w:abstractNum>
  <w:abstractNum w:abstractNumId="47">
    <w:nsid w:val="46B7D447"/>
    <w:multiLevelType w:val="hybridMultilevel"/>
    <w:lvl w:ilvl="0">
      <w:lvlJc w:val="left"/>
      <w:lvlText w:val="%1."/>
      <w:numFmt w:val="decimal"/>
      <w:start w:val="85"/>
    </w:lvl>
  </w:abstractNum>
  <w:abstractNum w:abstractNumId="48">
    <w:nsid w:val="4A2AC315"/>
    <w:multiLevelType w:val="hybridMultilevel"/>
    <w:lvl w:ilvl="0">
      <w:lvlJc w:val="left"/>
      <w:lvlText w:val="%1."/>
      <w:numFmt w:val="decimal"/>
      <w:start w:val="91"/>
    </w:lvl>
  </w:abstractNum>
  <w:abstractNum w:abstractNumId="49">
    <w:nsid w:val="39EE015C"/>
    <w:multiLevelType w:val="hybridMultilevel"/>
    <w:lvl w:ilvl="0">
      <w:lvlJc w:val="left"/>
      <w:lvlText w:val="%1."/>
      <w:numFmt w:val="decimal"/>
      <w:start w:val="92"/>
    </w:lvl>
  </w:abstractNum>
  <w:abstractNum w:abstractNumId="50">
    <w:nsid w:val="57FC4FBB"/>
    <w:multiLevelType w:val="hybridMultilevel"/>
    <w:lvl w:ilvl="0">
      <w:lvlJc w:val="left"/>
      <w:lvlText w:val="%1."/>
      <w:numFmt w:val="decimal"/>
      <w:start w:val="97"/>
    </w:lvl>
  </w:abstractNum>
  <w:abstractNum w:abstractNumId="51">
    <w:nsid w:val="CC1016F"/>
    <w:multiLevelType w:val="hybridMultilevel"/>
    <w:lvl w:ilvl="0">
      <w:lvlJc w:val="left"/>
      <w:lvlText w:val="%1"/>
      <w:numFmt w:val="decimal"/>
      <w:start w:val="1"/>
    </w:lvl>
    <w:lvl w:ilvl="1">
      <w:lvlJc w:val="left"/>
      <w:lvlText w:val="(%2)"/>
      <w:numFmt w:val="lowerLetter"/>
      <w:start w:val="2"/>
    </w:lvl>
  </w:abstractNum>
  <w:abstractNum w:abstractNumId="52">
    <w:nsid w:val="43F18422"/>
    <w:multiLevelType w:val="hybridMultilevel"/>
    <w:lvl w:ilvl="0">
      <w:lvlJc w:val="left"/>
      <w:lvlText w:val="%1."/>
      <w:numFmt w:val="decimal"/>
      <w:start w:val="101"/>
    </w:lvl>
    <w:lvl w:ilvl="1">
      <w:lvlJc w:val="left"/>
      <w:lvlText w:val="%2"/>
      <w:numFmt w:val="lowerLetter"/>
      <w:start w:val="1"/>
    </w:lvl>
  </w:abstractNum>
  <w:abstractNum w:abstractNumId="53">
    <w:nsid w:val="60EF0119"/>
    <w:multiLevelType w:val="hybridMultilevel"/>
    <w:lvl w:ilvl="0">
      <w:lvlJc w:val="left"/>
      <w:lvlText w:val="%1"/>
      <w:numFmt w:val="decimal"/>
      <w:start w:val="1"/>
    </w:lvl>
    <w:lvl w:ilvl="1">
      <w:lvlJc w:val="left"/>
      <w:lvlText w:val="(%2)"/>
      <w:numFmt w:val="lowerLetter"/>
      <w:start w:val="2"/>
    </w:lvl>
  </w:abstractNum>
  <w:abstractNum w:abstractNumId="54">
    <w:nsid w:val="26F324BA"/>
    <w:multiLevelType w:val="hybridMultilevel"/>
    <w:lvl w:ilvl="0">
      <w:lvlJc w:val="left"/>
      <w:lvlText w:val="%1."/>
      <w:numFmt w:val="decimal"/>
      <w:start w:val="105"/>
    </w:lvl>
    <w:lvl w:ilvl="1">
      <w:lvlJc w:val="left"/>
      <w:lvlText w:val="(%2)"/>
      <w:numFmt w:val="lowerLetter"/>
      <w:start w:val="1"/>
    </w:lvl>
  </w:abstractNum>
  <w:abstractNum w:abstractNumId="55">
    <w:nsid w:val="7F01579B"/>
    <w:multiLevelType w:val="hybridMultilevel"/>
    <w:lvl w:ilvl="0">
      <w:lvlJc w:val="left"/>
      <w:lvlText w:val="%1."/>
      <w:numFmt w:val="decimal"/>
      <w:start w:val="107"/>
    </w:lvl>
    <w:lvl w:ilvl="1">
      <w:lvlJc w:val="left"/>
      <w:lvlText w:val="(%2)"/>
      <w:numFmt w:val="lowerLetter"/>
      <w:start w:val="2"/>
    </w:lvl>
  </w:abstractNum>
  <w:abstractNum w:abstractNumId="56">
    <w:nsid w:val="49DA307D"/>
    <w:multiLevelType w:val="hybridMultilevel"/>
    <w:lvl w:ilvl="0">
      <w:lvlJc w:val="left"/>
      <w:lvlText w:val="%1"/>
      <w:numFmt w:val="decimal"/>
      <w:start w:val="1"/>
    </w:lvl>
    <w:lvl w:ilvl="1">
      <w:lvlJc w:val="left"/>
      <w:lvlText w:val="(%2)"/>
      <w:numFmt w:val="lowerLetter"/>
      <w:start w:val="3"/>
    </w:lvl>
  </w:abstractNum>
  <w:abstractNum w:abstractNumId="57">
    <w:nsid w:val="7055A5F5"/>
    <w:multiLevelType w:val="hybridMultilevel"/>
    <w:lvl w:ilvl="0">
      <w:lvlJc w:val="left"/>
      <w:lvlText w:val="%1."/>
      <w:numFmt w:val="decimal"/>
      <w:start w:val="111"/>
    </w:lvl>
    <w:lvl w:ilvl="1">
      <w:lvlJc w:val="left"/>
      <w:lvlText w:val="%2"/>
      <w:numFmt w:val="lowerLetter"/>
      <w:start w:val="1"/>
    </w:lvl>
  </w:abstractNum>
  <w:abstractNum w:abstractNumId="58">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50801EE1"/>
    <w:multiLevelType w:val="hybridMultilevel"/>
    <w:lvl w:ilvl="0">
      <w:lvlJc w:val="left"/>
      <w:lvlText w:val="%1."/>
      <w:numFmt w:val="decimal"/>
      <w:start w:val="117"/>
    </w:lvl>
    <w:lvl w:ilvl="1">
      <w:lvlJc w:val="left"/>
      <w:lvlText w:val="(%2)"/>
      <w:numFmt w:val="lowerLetter"/>
      <w:start w:val="1"/>
    </w:lvl>
    <w:lvl w:ilvl="2">
      <w:lvlJc w:val="left"/>
      <w:lvlText w:val="%3"/>
      <w:numFmt w:val="lowerRoman"/>
      <w:start w:val="1"/>
    </w:lvl>
  </w:abstractNum>
  <w:abstractNum w:abstractNumId="60">
    <w:nsid w:val="488AC1A"/>
    <w:multiLevelType w:val="hybridMultilevel"/>
    <w:lvl w:ilvl="0">
      <w:lvlJc w:val="left"/>
      <w:lvlText w:val="%1."/>
      <w:numFmt w:val="decimal"/>
      <w:start w:val="118"/>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1">
    <w:nsid w:val="5FB801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2">
    <w:nsid w:val="6AA78F7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3">
    <w:nsid w:val="7672BD2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4">
    <w:nsid w:val="6FC75AF8"/>
    <w:multiLevelType w:val="hybridMultilevel"/>
    <w:lvl w:ilvl="0">
      <w:lvlJc w:val="left"/>
      <w:lvlText w:val="%1."/>
      <w:numFmt w:val="decimal"/>
      <w:start w:val="120"/>
    </w:lvl>
    <w:lvl w:ilvl="1">
      <w:lvlJc w:val="left"/>
      <w:lvlText w:val="(%2)"/>
      <w:numFmt w:val="lowerLetter"/>
      <w:start w:val="2"/>
    </w:lvl>
  </w:abstractNum>
  <w:abstractNum w:abstractNumId="65">
    <w:nsid w:val="6A5F7029"/>
    <w:multiLevelType w:val="hybridMultilevel"/>
    <w:lvl w:ilvl="0">
      <w:lvlJc w:val="left"/>
      <w:lvlText w:val="%1"/>
      <w:numFmt w:val="decimal"/>
      <w:start w:val="1"/>
    </w:lvl>
    <w:lvl w:ilvl="1">
      <w:lvlJc w:val="left"/>
      <w:lvlText w:val="(%2)"/>
      <w:numFmt w:val="lowerLetter"/>
      <w:start w:val="1"/>
    </w:lvl>
  </w:abstractNum>
  <w:abstractNum w:abstractNumId="66">
    <w:nsid w:val="7D5E18F8"/>
    <w:multiLevelType w:val="hybridMultilevel"/>
    <w:lvl w:ilvl="0">
      <w:lvlJc w:val="left"/>
      <w:lvlText w:val="%1."/>
      <w:numFmt w:val="decimal"/>
      <w:start w:val="122"/>
    </w:lvl>
    <w:lvl w:ilvl="1">
      <w:lvlJc w:val="left"/>
      <w:lvlText w:val="%2"/>
      <w:numFmt w:val="lowerLetter"/>
      <w:start w:val="1"/>
    </w:lvl>
  </w:abstractNum>
  <w:abstractNum w:abstractNumId="67">
    <w:nsid w:val="5F3534A4"/>
    <w:multiLevelType w:val="hybridMultilevel"/>
    <w:lvl w:ilvl="0">
      <w:lvlJc w:val="left"/>
      <w:lvlText w:val="%1."/>
      <w:numFmt w:val="decimal"/>
      <w:start w:val="123"/>
    </w:lvl>
  </w:abstractNum>
  <w:abstractNum w:abstractNumId="68">
    <w:nsid w:val="73A1821B"/>
    <w:multiLevelType w:val="hybridMultilevel"/>
    <w:lvl w:ilvl="0">
      <w:lvlJc w:val="left"/>
      <w:lvlText w:val="%1."/>
      <w:numFmt w:val="decimal"/>
      <w:start w:val="127"/>
    </w:lvl>
  </w:abstractNum>
  <w:abstractNum w:abstractNumId="69">
    <w:nsid w:val="7DE67713"/>
    <w:multiLevelType w:val="hybridMultilevel"/>
    <w:lvl w:ilvl="0">
      <w:lvlJc w:val="left"/>
      <w:lvlText w:val="%1."/>
      <w:numFmt w:val="decimal"/>
      <w:start w:val="130"/>
    </w:lvl>
  </w:abstractNum>
  <w:abstractNum w:abstractNumId="70">
    <w:nsid w:val="555C55B5"/>
    <w:multiLevelType w:val="hybridMultilevel"/>
    <w:lvl w:ilvl="0">
      <w:lvlJc w:val="left"/>
      <w:lvlText w:val="%1."/>
      <w:numFmt w:val="decimal"/>
      <w:start w:val="134"/>
    </w:lvl>
  </w:abstractNum>
  <w:abstractNum w:abstractNumId="71">
    <w:nsid w:val="3FA62ACA"/>
    <w:multiLevelType w:val="hybridMultilevel"/>
    <w:lvl w:ilvl="0">
      <w:lvlJc w:val="left"/>
      <w:lvlText w:val="%1."/>
      <w:numFmt w:val="decimal"/>
      <w:start w:val="139"/>
    </w:lvl>
    <w:lvl w:ilvl="1">
      <w:lvlJc w:val="left"/>
      <w:lvlText w:val="(%2)"/>
      <w:numFmt w:val="lowerLetter"/>
      <w:start w:val="1"/>
    </w:lvl>
  </w:abstractNum>
  <w:abstractNum w:abstractNumId="72">
    <w:nsid w:val="14FCE74E"/>
    <w:multiLevelType w:val="hybridMultilevel"/>
    <w:lvl w:ilvl="0">
      <w:lvlJc w:val="left"/>
      <w:lvlText w:val="%1."/>
      <w:numFmt w:val="decimal"/>
      <w:start w:val="141"/>
    </w:lvl>
  </w:abstractNum>
  <w:abstractNum w:abstractNumId="73">
    <w:nsid w:val="6A3DD3E8"/>
    <w:multiLevelType w:val="hybridMultilevel"/>
    <w:lvl w:ilvl="0">
      <w:lvlJc w:val="left"/>
      <w:lvlText w:val="%1."/>
      <w:numFmt w:val="decimal"/>
      <w:start w:val="144"/>
    </w:lvl>
  </w:abstractNum>
  <w:abstractNum w:abstractNumId="74">
    <w:nsid w:val="71C91298"/>
    <w:multiLevelType w:val="hybridMultilevel"/>
    <w:lvl w:ilvl="0">
      <w:lvlJc w:val="left"/>
      <w:lvlText w:val="%1."/>
      <w:numFmt w:val="decimal"/>
      <w:start w:val="145"/>
    </w:lvl>
  </w:abstractNum>
  <w:abstractNum w:abstractNumId="75">
    <w:nsid w:val="9DAF632"/>
    <w:multiLevelType w:val="hybridMultilevel"/>
    <w:lvl w:ilvl="0">
      <w:lvlJc w:val="left"/>
      <w:lvlText w:val="%1."/>
      <w:numFmt w:val="decimal"/>
      <w:start w:val="150"/>
    </w:lvl>
    <w:lvl w:ilvl="1">
      <w:lvlJc w:val="left"/>
      <w:lvlText w:val="(%2)"/>
      <w:numFmt w:val="lowerLetter"/>
      <w:start w:val="2"/>
    </w:lvl>
  </w:abstractNum>
  <w:abstractNum w:abstractNumId="76">
    <w:nsid w:val="53299938"/>
    <w:multiLevelType w:val="hybridMultilevel"/>
    <w:lvl w:ilvl="0">
      <w:lvlJc w:val="left"/>
      <w:lvlText w:val="%1."/>
      <w:numFmt w:val="decimal"/>
      <w:start w:val="155"/>
    </w:lvl>
    <w:lvl w:ilvl="1">
      <w:lvlJc w:val="left"/>
      <w:lvlText w:val="(%2)"/>
      <w:numFmt w:val="lowerLetter"/>
      <w:start w:val="1"/>
    </w:lvl>
    <w:lvl w:ilvl="2">
      <w:lvlJc w:val="left"/>
      <w:lvlText w:val="(%3)"/>
      <w:numFmt w:val="lowerRoman"/>
      <w:start w:val="1"/>
    </w:lvl>
  </w:abstractNum>
  <w:abstractNum w:abstractNumId="77">
    <w:nsid w:val="1FBFE8E0"/>
    <w:multiLevelType w:val="hybridMultilevel"/>
    <w:lvl w:ilvl="0">
      <w:lvlJc w:val="left"/>
      <w:lvlText w:val="%1."/>
      <w:numFmt w:val="decimal"/>
      <w:start w:val="156"/>
    </w:lvl>
  </w:abstractNum>
  <w:abstractNum w:abstractNumId="78">
    <w:nsid w:val="5092CA79"/>
    <w:multiLevelType w:val="hybridMultilevel"/>
    <w:lvl w:ilvl="0">
      <w:lvlJc w:val="left"/>
      <w:lvlText w:val="%1."/>
      <w:numFmt w:val="decimal"/>
      <w:start w:val="159"/>
    </w:lvl>
    <w:lvl w:ilvl="1">
      <w:lvlJc w:val="left"/>
      <w:lvlText w:val="(%2)"/>
      <w:numFmt w:val="lowerLetter"/>
      <w:start w:val="2"/>
    </w:lvl>
  </w:abstractNum>
  <w:abstractNum w:abstractNumId="79">
    <w:nsid w:val="1D545C4D"/>
    <w:multiLevelType w:val="hybridMultilevel"/>
    <w:lvl w:ilvl="0">
      <w:lvlJc w:val="left"/>
      <w:lvlText w:val="%1"/>
      <w:numFmt w:val="decimal"/>
      <w:start w:val="1"/>
    </w:lvl>
    <w:lvl w:ilvl="1">
      <w:lvlJc w:val="left"/>
      <w:lvlText w:val="(%2)"/>
      <w:numFmt w:val="lowerLetter"/>
      <w:start w:val="3"/>
    </w:lvl>
  </w:abstractNum>
  <w:abstractNum w:abstractNumId="80">
    <w:nsid w:val="59ADEA3D"/>
    <w:multiLevelType w:val="hybridMultilevel"/>
    <w:lvl w:ilvl="0">
      <w:lvlJc w:val="left"/>
      <w:lvlText w:val="%1."/>
      <w:numFmt w:val="decimal"/>
      <w:start w:val="160"/>
    </w:lvl>
    <w:lvl w:ilvl="1">
      <w:lvlJc w:val="left"/>
      <w:lvlText w:val="(%2)"/>
      <w:numFmt w:val="lowerLetter"/>
      <w:start w:val="2"/>
    </w:lvl>
  </w:abstractNum>
  <w:abstractNum w:abstractNumId="81">
    <w:nsid w:val="288F1A34"/>
    <w:multiLevelType w:val="hybridMultilevel"/>
    <w:lvl w:ilvl="0">
      <w:lvlJc w:val="left"/>
      <w:lvlText w:val="%1."/>
      <w:numFmt w:val="decimal"/>
      <w:start w:val="164"/>
    </w:lvl>
    <w:lvl w:ilvl="1">
      <w:lvlJc w:val="left"/>
      <w:lvlText w:val="(%2)"/>
      <w:numFmt w:val="lowerLetter"/>
      <w:start w:val="2"/>
    </w:lvl>
  </w:abstractNum>
  <w:abstractNum w:abstractNumId="82">
    <w:nsid w:val="2A155DBC"/>
    <w:multiLevelType w:val="hybridMultilevel"/>
    <w:lvl w:ilvl="0">
      <w:lvlJc w:val="left"/>
      <w:lvlText w:val="%1."/>
      <w:numFmt w:val="decimal"/>
      <w:start w:val="165"/>
    </w:lvl>
  </w:abstractNum>
  <w:abstractNum w:abstractNumId="83">
    <w:nsid w:val="1D9F6E5F"/>
    <w:multiLevelType w:val="hybridMultilevel"/>
    <w:lvl w:ilvl="0">
      <w:lvlJc w:val="left"/>
      <w:lvlText w:val="(%1)"/>
      <w:numFmt w:val="lowerLetter"/>
      <w:start w:val="2"/>
    </w:lvl>
  </w:abstractNum>
  <w:abstractNum w:abstractNumId="84">
    <w:nsid w:val="97E1B4E"/>
    <w:multiLevelType w:val="hybridMultilevel"/>
    <w:lvl w:ilvl="0">
      <w:lvlJc w:val="left"/>
      <w:lvlText w:val="%1."/>
      <w:numFmt w:val="decimal"/>
      <w:start w:val="166"/>
    </w:lvl>
    <w:lvl w:ilvl="1">
      <w:lvlJc w:val="left"/>
      <w:lvlText w:val="(%2)"/>
      <w:numFmt w:val="lowerLetter"/>
      <w:start w:val="2"/>
    </w:lvl>
  </w:abstractNum>
  <w:abstractNum w:abstractNumId="85">
    <w:nsid w:val="51088277"/>
    <w:multiLevelType w:val="hybridMultilevel"/>
    <w:lvl w:ilvl="0">
      <w:lvlJc w:val="left"/>
      <w:lvlText w:val="%1"/>
      <w:numFmt w:val="decimal"/>
      <w:start w:val="1"/>
    </w:lvl>
    <w:lvl w:ilvl="1">
      <w:lvlJc w:val="left"/>
      <w:lvlText w:val="(%2)"/>
      <w:numFmt w:val="lowerLetter"/>
      <w:start w:val="3"/>
    </w:lvl>
  </w:abstractNum>
  <w:abstractNum w:abstractNumId="86">
    <w:nsid w:val="1CA0C5FA"/>
    <w:multiLevelType w:val="hybridMultilevel"/>
    <w:lvl w:ilvl="0">
      <w:lvlJc w:val="left"/>
      <w:lvlText w:val="%1."/>
      <w:numFmt w:val="decimal"/>
      <w:start w:val="168"/>
    </w:lvl>
    <w:lvl w:ilvl="1">
      <w:lvlJc w:val="left"/>
      <w:lvlText w:val="(%2)"/>
      <w:numFmt w:val="lowerLetter"/>
      <w:start w:val="2"/>
    </w:lvl>
  </w:abstractNum>
  <w:abstractNum w:abstractNumId="87">
    <w:nsid w:val="53584BCB"/>
    <w:multiLevelType w:val="hybridMultilevel"/>
    <w:lvl w:ilvl="0">
      <w:lvlJc w:val="left"/>
      <w:lvlText w:val="%1."/>
      <w:numFmt w:val="decimal"/>
      <w:start w:val="171"/>
    </w:lvl>
    <w:lvl w:ilvl="1">
      <w:lvlJc w:val="left"/>
      <w:lvlText w:val="(%2)"/>
      <w:numFmt w:val="lowerRoman"/>
      <w:start w:val="1"/>
    </w:lvl>
    <w:lvl w:ilvl="2">
      <w:lvlJc w:val="left"/>
      <w:lvlText w:val="(%3)"/>
      <w:numFmt w:val="upperLetter"/>
      <w:start w:val="1"/>
    </w:lvl>
  </w:abstractNum>
  <w:abstractNum w:abstractNumId="88">
    <w:nsid w:val="415E286C"/>
    <w:multiLevelType w:val="hybridMultilevel"/>
    <w:lvl w:ilvl="0">
      <w:lvlJc w:val="left"/>
      <w:lvlText w:val="(%1)"/>
      <w:numFmt w:val="upperLetter"/>
      <w:start w:val="4"/>
    </w:lvl>
  </w:abstractNum>
  <w:abstractNum w:abstractNumId="89">
    <w:nsid w:val="7C58FD05"/>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1"/>
    </w:lvl>
  </w:abstractNum>
  <w:abstractNum w:abstractNumId="90">
    <w:nsid w:val="23D86AA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91">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2">
    <w:nsid w:val="5C10FE2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3">
    <w:nsid w:val="E7FFA2B"/>
    <w:multiLevelType w:val="hybridMultilevel"/>
    <w:lvl w:ilvl="0">
      <w:lvlJc w:val="left"/>
      <w:lvlText w:val="%1."/>
      <w:numFmt w:val="decimal"/>
      <w:start w:val="173"/>
    </w:lvl>
    <w:lvl w:ilvl="1">
      <w:lvlJc w:val="left"/>
      <w:lvlText w:val="%2"/>
      <w:numFmt w:val="lowerLetter"/>
      <w:start w:val="1"/>
    </w:lvl>
    <w:lvl w:ilvl="2">
      <w:lvlJc w:val="left"/>
      <w:lvlText w:val="%3"/>
      <w:numFmt w:val="lowerLetter"/>
      <w:start w:val="1"/>
    </w:lvl>
  </w:abstractNum>
  <w:abstractNum w:abstractNumId="94">
    <w:nsid w:val="3C5991AA"/>
    <w:multiLevelType w:val="hybridMultilevel"/>
    <w:lvl w:ilvl="0">
      <w:lvlJc w:val="left"/>
      <w:lvlText w:val="%1."/>
      <w:numFmt w:val="decimal"/>
      <w:start w:val="174"/>
    </w:lvl>
    <w:lvl w:ilvl="1">
      <w:lvlJc w:val="left"/>
      <w:lvlText w:val="(%2)"/>
      <w:numFmt w:val="lowerLetter"/>
      <w:start w:val="2"/>
    </w:lvl>
  </w:abstractNum>
  <w:abstractNum w:abstractNumId="95">
    <w:nsid w:val="4BD8591A"/>
    <w:multiLevelType w:val="hybridMultilevel"/>
    <w:lvl w:ilvl="0">
      <w:lvlJc w:val="left"/>
      <w:lvlText w:val="%1."/>
      <w:numFmt w:val="decimal"/>
      <w:start w:val="180"/>
    </w:lvl>
  </w:abstractNum>
  <w:abstractNum w:abstractNumId="96">
    <w:nsid w:val="78DF6A55"/>
    <w:multiLevelType w:val="hybridMultilevel"/>
    <w:lvl w:ilvl="0">
      <w:lvlJc w:val="left"/>
      <w:lvlText w:val="%1."/>
      <w:numFmt w:val="decimal"/>
      <w:start w:val="181"/>
    </w:lvl>
  </w:abstractNum>
  <w:abstractNum w:abstractNumId="97">
    <w:nsid w:val="39B7AAA2"/>
    <w:multiLevelType w:val="hybridMultilevel"/>
    <w:lvl w:ilvl="0">
      <w:lvlJc w:val="left"/>
      <w:lvlText w:val="%1."/>
      <w:numFmt w:val="decimal"/>
      <w:start w:val="183"/>
    </w:lvl>
  </w:abstractNum>
  <w:abstractNum w:abstractNumId="98">
    <w:nsid w:val="2B0D8DBE"/>
    <w:multiLevelType w:val="hybridMultilevel"/>
    <w:lvl w:ilvl="0">
      <w:lvlJc w:val="left"/>
      <w:lvlText w:val="%1."/>
      <w:numFmt w:val="decimal"/>
      <w:start w:val="184"/>
    </w:lvl>
    <w:lvl w:ilvl="1">
      <w:lvlJc w:val="left"/>
      <w:lvlText w:val="(%2)"/>
      <w:numFmt w:val="lowerLetter"/>
      <w:start w:val="2"/>
    </w:lvl>
  </w:abstractNum>
  <w:abstractNum w:abstractNumId="99">
    <w:nsid w:val="6C80EC70"/>
    <w:multiLevelType w:val="hybridMultilevel"/>
    <w:lvl w:ilvl="0">
      <w:lvlJc w:val="left"/>
      <w:lvlText w:val="%1."/>
      <w:numFmt w:val="decimal"/>
      <w:start w:val="188"/>
    </w:lvl>
    <w:lvl w:ilvl="1">
      <w:lvlJc w:val="left"/>
      <w:lvlText w:val="(%2)"/>
      <w:numFmt w:val="lowerLetter"/>
      <w:start w:val="2"/>
    </w:lvl>
  </w:abstractNum>
  <w:abstractNum w:abstractNumId="100">
    <w:nsid w:val="379E21B5"/>
    <w:multiLevelType w:val="hybridMultilevel"/>
    <w:lvl w:ilvl="0">
      <w:lvlJc w:val="left"/>
      <w:lvlText w:val="%1."/>
      <w:numFmt w:val="decimal"/>
      <w:start w:val="192"/>
    </w:lvl>
  </w:abstractNum>
  <w:abstractNum w:abstractNumId="101">
    <w:nsid w:val="69E37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2">
    <w:nsid w:val="2C27173B"/>
    <w:multiLevelType w:val="hybridMultilevel"/>
    <w:lvl w:ilvl="0">
      <w:lvlJc w:val="left"/>
      <w:lvlText w:val="%1."/>
      <w:numFmt w:val="decimal"/>
      <w:start w:val="193"/>
    </w:lvl>
    <w:lvl w:ilvl="1">
      <w:lvlJc w:val="left"/>
      <w:lvlText w:val="%2"/>
      <w:numFmt w:val="lowerLetter"/>
      <w:start w:val="1"/>
    </w:lvl>
    <w:lvl w:ilvl="2">
      <w:lvlJc w:val="left"/>
      <w:lvlText w:val="(%3)"/>
      <w:numFmt w:val="lowerLetter"/>
      <w:start w:val="35"/>
    </w:lvl>
  </w:abstractNum>
  <w:abstractNum w:abstractNumId="103">
    <w:nsid w:val="4C9B0904"/>
    <w:multiLevelType w:val="hybridMultilevel"/>
    <w:lvl w:ilvl="0">
      <w:lvlJc w:val="left"/>
      <w:lvlText w:val="%1"/>
      <w:numFmt w:val="decimal"/>
      <w:start w:val="1"/>
    </w:lvl>
    <w:lvl w:ilvl="1">
      <w:lvlJc w:val="left"/>
      <w:lvlText w:val="(%2)"/>
      <w:numFmt w:val="lowerLetter"/>
      <w:start w:val="2"/>
    </w:lvl>
  </w:abstractNum>
  <w:abstractNum w:abstractNumId="104">
    <w:nsid w:val="6AA7B75C"/>
    <w:multiLevelType w:val="hybridMultilevel"/>
    <w:lvl w:ilvl="0">
      <w:lvlJc w:val="left"/>
      <w:lvlText w:val="%1."/>
      <w:numFmt w:val="decimal"/>
      <w:start w:val="194"/>
    </w:lvl>
    <w:lvl w:ilvl="1">
      <w:lvlJc w:val="left"/>
      <w:lvlText w:val="%2"/>
      <w:numFmt w:val="lowerLetter"/>
      <w:start w:val="1"/>
    </w:lvl>
  </w:abstractNum>
  <w:abstractNum w:abstractNumId="105">
    <w:nsid w:val="1DF029D3"/>
    <w:multiLevelType w:val="hybridMultilevel"/>
    <w:lvl w:ilvl="0">
      <w:lvlJc w:val="left"/>
      <w:lvlText w:val="%1."/>
      <w:numFmt w:val="decimal"/>
      <w:start w:val="195"/>
    </w:lvl>
  </w:abstractNum>
  <w:abstractNum w:abstractNumId="106">
    <w:nsid w:val="5675FF36"/>
    <w:multiLevelType w:val="hybridMultilevel"/>
    <w:lvl w:ilvl="0">
      <w:lvlJc w:val="left"/>
      <w:lvlText w:val="%1."/>
      <w:numFmt w:val="decimal"/>
      <w:start w:val="199"/>
    </w:lvl>
  </w:abstractNum>
  <w:abstractNum w:abstractNumId="107">
    <w:nsid w:val="3DD15094"/>
    <w:multiLevelType w:val="hybridMultilevel"/>
    <w:lvl w:ilvl="0">
      <w:lvlJc w:val="left"/>
      <w:lvlText w:val="%1."/>
      <w:numFmt w:val="decimal"/>
      <w:start w:val="200"/>
    </w:lvl>
  </w:abstractNum>
  <w:abstractNum w:abstractNumId="108">
    <w:nsid w:val="3DB012B3"/>
    <w:multiLevelType w:val="hybridMultilevel"/>
    <w:lvl w:ilvl="0">
      <w:lvlJc w:val="left"/>
      <w:lvlText w:val="%1."/>
      <w:numFmt w:val="decimal"/>
      <w:start w:val="201"/>
    </w:lvl>
  </w:abstractNum>
  <w:abstractNum w:abstractNumId="109">
    <w:nsid w:val="2708C9AF"/>
    <w:multiLevelType w:val="hybridMultilevel"/>
    <w:lvl w:ilvl="0">
      <w:lvlJc w:val="left"/>
      <w:lvlText w:val="%1."/>
      <w:numFmt w:val="decimal"/>
      <w:start w:val="203"/>
    </w:lvl>
  </w:abstractNum>
  <w:abstractNum w:abstractNumId="110">
    <w:nsid w:val="5B25ACE2"/>
    <w:multiLevelType w:val="hybridMultilevel"/>
    <w:lvl w:ilvl="0">
      <w:lvlJc w:val="left"/>
      <w:lvlText w:val="%1."/>
      <w:numFmt w:val="decimal"/>
      <w:start w:val="204"/>
    </w:lvl>
  </w:abstractNum>
  <w:abstractNum w:abstractNumId="111">
    <w:nsid w:val="175DFCF0"/>
    <w:multiLevelType w:val="hybridMultilevel"/>
    <w:lvl w:ilvl="0">
      <w:lvlJc w:val="left"/>
      <w:lvlText w:val="%1."/>
      <w:numFmt w:val="decimal"/>
      <w:start w:val="205"/>
    </w:lvl>
    <w:lvl w:ilvl="1">
      <w:lvlJc w:val="left"/>
      <w:lvlText w:val="(%2)"/>
      <w:numFmt w:val="lowerLetter"/>
      <w:start w:val="1"/>
    </w:lvl>
    <w:lvl w:ilvl="2">
      <w:lvlJc w:val="left"/>
      <w:lvlText w:val="(%3)"/>
      <w:numFmt w:val="lowerRoman"/>
      <w:start w:val="1"/>
    </w:lvl>
  </w:abstractNum>
  <w:abstractNum w:abstractNumId="112">
    <w:nsid w:val="4F97E3E4"/>
    <w:multiLevelType w:val="hybridMultilevel"/>
    <w:lvl w:ilvl="0">
      <w:lvlJc w:val="left"/>
      <w:lvlText w:val="%1."/>
      <w:numFmt w:val="decimal"/>
      <w:start w:val="206"/>
    </w:lvl>
    <w:lvl w:ilvl="1">
      <w:lvlJc w:val="left"/>
      <w:lvlText w:val="(%2)"/>
      <w:numFmt w:val="lowerLetter"/>
      <w:start w:val="1"/>
    </w:lvl>
  </w:abstractNum>
  <w:abstractNum w:abstractNumId="113">
    <w:nsid w:val="53B0A9E"/>
    <w:multiLevelType w:val="hybridMultilevel"/>
    <w:lvl w:ilvl="0">
      <w:lvlJc w:val="left"/>
      <w:lvlText w:val="(%1)"/>
      <w:numFmt w:val="lowerLetter"/>
      <w:start w:val="4"/>
    </w:lvl>
  </w:abstractNum>
  <w:abstractNum w:abstractNumId="114">
    <w:nsid w:val="34FD6B4F"/>
    <w:multiLevelType w:val="hybridMultilevel"/>
    <w:lvl w:ilvl="0">
      <w:lvlJc w:val="left"/>
      <w:lvlText w:val="(%1)"/>
      <w:numFmt w:val="lowerRoman"/>
      <w:start w:val="1"/>
    </w:lvl>
  </w:abstractNum>
  <w:abstractNum w:abstractNumId="115">
    <w:nsid w:val="5915FF32"/>
    <w:multiLevelType w:val="hybridMultilevel"/>
    <w:lvl w:ilvl="0">
      <w:lvlJc w:val="left"/>
      <w:lvlText w:val="%1."/>
      <w:numFmt w:val="decimal"/>
      <w:start w:val="207"/>
    </w:lvl>
    <w:lvl w:ilvl="1">
      <w:lvlJc w:val="left"/>
      <w:lvlText w:val="(%2)"/>
      <w:numFmt w:val="lowerLetter"/>
      <w:start w:val="1"/>
    </w:lvl>
    <w:lvl w:ilvl="2">
      <w:lvlJc w:val="left"/>
      <w:lvlText w:val="(%3)"/>
      <w:numFmt w:val="lowerRoman"/>
      <w:start w:val="1"/>
    </w:lvl>
  </w:abstractNum>
  <w:abstractNum w:abstractNumId="116">
    <w:nsid w:val="56438D1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17">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8">
    <w:nsid w:val="2C6E4AFD"/>
    <w:multiLevelType w:val="hybridMultilevel"/>
    <w:lvl w:ilvl="0">
      <w:lvlJc w:val="left"/>
      <w:lvlText w:val="(%1)"/>
      <w:numFmt w:val="lowerLetter"/>
      <w:start w:val="3"/>
    </w:lvl>
  </w:abstractNum>
  <w:abstractNum w:abstractNumId="119">
    <w:nsid w:val="17A1B582"/>
    <w:multiLevelType w:val="hybridMultilevel"/>
    <w:lvl w:ilvl="0">
      <w:lvlJc w:val="left"/>
      <w:lvlText w:val="%1."/>
      <w:numFmt w:val="decimal"/>
      <w:start w:val="208"/>
    </w:lvl>
    <w:lvl w:ilvl="1">
      <w:lvlJc w:val="left"/>
      <w:lvlText w:val="(%2)"/>
      <w:numFmt w:val="lowerLetter"/>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lvl w:ilvl="1">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2026-05-22T07:02:57Z</dcterms:created>
  <dcterms:modified xsi:type="dcterms:W3CDTF">2026-05-22T07:02:57Z</dcterms:modified>
</cp:coreProperties>
</file>