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46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4693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Yu Debra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21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ASCENTAGE PHARMA GROUP INTERNATIONAL</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 xml:space="preserve">AAPG </w:t>
      </w:r>
      <w:r>
        <w:rPr>
          <w:rFonts w:ascii="Times New Roman" w:cs="Times New Roman" w:eastAsia="Times New Roman" w:hAnsi="Times New Roman"/>
          <w:sz w:val="24"/>
          <w:szCs w:val="24"/>
          <w:color w:val="000000"/>
        </w:rPr>
        <w:t>]</w:t>
      </w:r>
    </w:p>
    <w:p>
      <w:pPr>
        <w:spacing w:after="0" w:line="162"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18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700 KING FARM BLVD</w:t>
            </w:r>
          </w:p>
        </w:tc>
        <w:tc>
          <w:tcPr>
            <w:tcW w:w="1040" w:type="dxa"/>
            <w:vAlign w:val="bottom"/>
          </w:tcPr>
          <w:p>
            <w:pPr>
              <w:spacing w:after="0"/>
              <w:rPr>
                <w:sz w:val="24"/>
                <w:szCs w:val="24"/>
                <w:color w:val="auto"/>
              </w:rPr>
            </w:pPr>
          </w:p>
        </w:tc>
      </w:tr>
      <w:tr>
        <w:trPr>
          <w:trHeight w:val="300"/>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STE 510</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ROCKVILLE MD</w:t>
            </w:r>
          </w:p>
        </w:tc>
        <w:tc>
          <w:tcPr>
            <w:tcW w:w="104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20850</w:t>
            </w:r>
          </w:p>
        </w:tc>
      </w:tr>
      <w:tr>
        <w:trPr>
          <w:trHeight w:val="177"/>
        </w:trPr>
        <w:tc>
          <w:tcPr>
            <w:tcW w:w="8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880" w:type="dxa"/>
            <w:vAlign w:val="bottom"/>
          </w:tcPr>
          <w:p>
            <w:pPr>
              <w:ind w:left="40"/>
              <w:spacing w:after="0"/>
              <w:rPr>
                <w:sz w:val="20"/>
                <w:szCs w:val="20"/>
                <w:color w:val="auto"/>
              </w:rPr>
            </w:pPr>
            <w:r>
              <w:rPr>
                <w:rFonts w:ascii="Arial" w:cs="Arial" w:eastAsia="Arial" w:hAnsi="Arial"/>
                <w:sz w:val="15"/>
                <w:szCs w:val="15"/>
                <w:color w:val="auto"/>
              </w:rPr>
              <w:t>(City)</w:t>
            </w:r>
          </w:p>
        </w:tc>
        <w:tc>
          <w:tcPr>
            <w:tcW w:w="1180" w:type="dxa"/>
            <w:vAlign w:val="bottom"/>
          </w:tcPr>
          <w:p>
            <w:pPr>
              <w:ind w:left="18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03/19/2026</w:t>
      </w:r>
    </w:p>
    <w:p>
      <w:pPr>
        <w:spacing w:after="0" w:line="21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24"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9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4"/>
                <w:szCs w:val="14"/>
                <w:color w:val="auto"/>
              </w:rPr>
            </w:pPr>
          </w:p>
        </w:tc>
        <w:tc>
          <w:tcPr>
            <w:tcW w:w="9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180"/>
              <w:spacing w:after="0"/>
              <w:rPr>
                <w:sz w:val="20"/>
                <w:szCs w:val="20"/>
                <w:color w:val="auto"/>
              </w:rPr>
            </w:pPr>
            <w:r>
              <w:rPr>
                <w:rFonts w:ascii="Arial" w:cs="Arial" w:eastAsia="Arial" w:hAnsi="Arial"/>
                <w:sz w:val="15"/>
                <w:szCs w:val="15"/>
                <w:b w:val="1"/>
                <w:bCs w:val="1"/>
                <w:color w:val="auto"/>
              </w:rPr>
              <w:t>of 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right"/>
              <w:ind w:right="48"/>
              <w:spacing w:after="0"/>
              <w:rPr>
                <w:sz w:val="20"/>
                <w:szCs w:val="20"/>
                <w:color w:val="auto"/>
              </w:rPr>
            </w:pPr>
            <w:r>
              <w:rPr>
                <w:rFonts w:ascii="Times New Roman" w:cs="Times New Roman" w:eastAsia="Times New Roman" w:hAnsi="Times New Roman"/>
                <w:sz w:val="15"/>
                <w:szCs w:val="15"/>
                <w:color w:val="0000FF"/>
              </w:rPr>
              <w:t>11/26/2035</w:t>
            </w:r>
          </w:p>
        </w:tc>
        <w:tc>
          <w:tcPr>
            <w:tcW w:w="1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9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w w:val="99"/>
              </w:rPr>
              <w:t>17,965</w:t>
            </w:r>
            <w:r>
              <w:rPr>
                <w:rFonts w:ascii="Times New Roman" w:cs="Times New Roman" w:eastAsia="Times New Roman" w:hAnsi="Times New Roman"/>
                <w:sz w:val="25"/>
                <w:szCs w:val="25"/>
                <w:color w:val="008000"/>
                <w:w w:val="99"/>
                <w:vertAlign w:val="superscript"/>
              </w:rPr>
              <w:t>(4)</w:t>
            </w:r>
          </w:p>
        </w:tc>
        <w:tc>
          <w:tcPr>
            <w:tcW w:w="1000" w:type="dxa"/>
            <w:vAlign w:val="bottom"/>
            <w:tcBorders>
              <w:bottom w:val="single" w:sz="8" w:color="2C2C2C"/>
            </w:tcBorders>
          </w:tcPr>
          <w:p>
            <w:pPr>
              <w:jc w:val="center"/>
              <w:ind w:right="159"/>
              <w:spacing w:after="0"/>
              <w:rPr>
                <w:sz w:val="20"/>
                <w:szCs w:val="20"/>
                <w:color w:val="auto"/>
              </w:rPr>
            </w:pPr>
            <w:r>
              <w:rPr>
                <w:rFonts w:ascii="Times New Roman" w:cs="Times New Roman" w:eastAsia="Times New Roman" w:hAnsi="Times New Roman"/>
                <w:sz w:val="20"/>
                <w:szCs w:val="20"/>
                <w:color w:val="0000FF"/>
              </w:rPr>
              <w:t>8.14</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Borders>
              <w:bottom w:val="single" w:sz="8" w:color="2C2C2C"/>
            </w:tcBorders>
          </w:tcPr>
          <w:p>
            <w:pPr>
              <w:jc w:val="right"/>
              <w:ind w:right="308"/>
              <w:spacing w:after="0"/>
              <w:rPr>
                <w:sz w:val="20"/>
                <w:szCs w:val="20"/>
                <w:color w:val="auto"/>
              </w:rPr>
            </w:pPr>
            <w:r>
              <w:rPr>
                <w:rFonts w:ascii="Times New Roman" w:cs="Times New Roman" w:eastAsia="Times New Roman" w:hAnsi="Times New Roman"/>
                <w:sz w:val="13"/>
                <w:szCs w:val="13"/>
                <w:color w:val="008000"/>
              </w:rPr>
              <w:t>(3)</w:t>
            </w:r>
          </w:p>
        </w:tc>
        <w:tc>
          <w:tcPr>
            <w:tcW w:w="1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9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w w:val="99"/>
              </w:rPr>
              <w:t>27,965</w:t>
            </w:r>
            <w:r>
              <w:rPr>
                <w:rFonts w:ascii="Times New Roman" w:cs="Times New Roman" w:eastAsia="Times New Roman" w:hAnsi="Times New Roman"/>
                <w:sz w:val="25"/>
                <w:szCs w:val="25"/>
                <w:color w:val="008000"/>
                <w:w w:val="99"/>
                <w:vertAlign w:val="superscript"/>
              </w:rPr>
              <w:t>(4)</w:t>
            </w:r>
          </w:p>
        </w:tc>
        <w:tc>
          <w:tcPr>
            <w:tcW w:w="1000" w:type="dxa"/>
            <w:vAlign w:val="bottom"/>
            <w:tcBorders>
              <w:bottom w:val="single" w:sz="8" w:color="2C2C2C"/>
            </w:tcBorders>
          </w:tcPr>
          <w:p>
            <w:pPr>
              <w:jc w:val="right"/>
              <w:ind w:right="359"/>
              <w:spacing w:after="0"/>
              <w:rPr>
                <w:sz w:val="20"/>
                <w:szCs w:val="20"/>
                <w:color w:val="auto"/>
              </w:rPr>
            </w:pPr>
            <w:r>
              <w:rPr>
                <w:rFonts w:ascii="Times New Roman" w:cs="Times New Roman" w:eastAsia="Times New Roman" w:hAnsi="Times New Roman"/>
                <w:sz w:val="20"/>
                <w:szCs w:val="20"/>
                <w:color w:val="0000FF"/>
              </w:rPr>
              <w:t>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options vest in twelve (12) tranches equally on the 26th of the month starting November 26, 2025.</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for the stock options is in HKD, and the exercise price included in the table represents conversion to USD based on the exchange rate on the date of grant.</w:t>
      </w:r>
    </w:p>
    <w:p>
      <w:pPr>
        <w:spacing w:after="0" w:line="52"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(RSUs) represents a contingent right to receive one Ordinary Share of the Issuer upon vesting. The RSUs vest in four equal increments on each of 11/26/2026, 2027, 2028 and 2029.</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number of Share Options and/or vesting were inadvertently incorrectly reported in the original submission.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/Debra Yu/</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03/23/2026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9480" TargetMode="External"/><Relationship Id="rId11" Type="http://schemas.openxmlformats.org/officeDocument/2006/relationships/hyperlink" Target="http://www.sec.gov/cgi-bin/browse-edgar?action=getcompany&amp;CIK=0002023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2026-03-23T18:21:58Z</dcterms:created>
  <dcterms:modified xsi:type="dcterms:W3CDTF">2026-03-23T18:21:58Z</dcterms:modified>
</cp:coreProperties>
</file>